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tLeast"/>
        <w:rPr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>论文特别注意事项：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rPr>
          <w:rFonts w:hint="eastAsia"/>
        </w:rPr>
        <w:t>论文题名、各级小标题名、摘要、引言、结论、参考文献撰写非常重要，请重视，具体写作指导意见详见批注。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t>为了避免学术成果归属引起的争议，建议您列上所有参与论文成果研究的人员名字和单位。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rPr>
          <w:rFonts w:hint="eastAsia"/>
          <w:color w:val="FF0000"/>
        </w:rPr>
        <w:t>我刊所有投稿文章如有具体工程实例（如矿名）</w:t>
      </w:r>
      <w:r>
        <w:rPr>
          <w:rFonts w:hint="eastAsia"/>
        </w:rPr>
        <w:t>，应将具体名称要说清楚（应该不存在保密问题），如果存在知识产权归属问题，编辑部将作退稿处理。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rPr>
          <w:color w:val="FF0000"/>
        </w:rPr>
        <w:t>请</w:t>
      </w:r>
      <w:r>
        <w:rPr>
          <w:rFonts w:hint="eastAsia"/>
          <w:color w:val="FF0000"/>
        </w:rPr>
        <w:t>记得</w:t>
      </w:r>
      <w:r>
        <w:rPr>
          <w:color w:val="FF0000"/>
        </w:rPr>
        <w:t>添加省部级以上的基金项目，格式如：国家自然科学基金项目</w:t>
      </w:r>
      <w:r>
        <w:rPr>
          <w:rFonts w:hint="eastAsia"/>
          <w:color w:val="FF0000"/>
          <w:lang w:val="en-US" w:eastAsia="zh-CN"/>
        </w:rPr>
        <w:t>（</w:t>
      </w:r>
      <w:r>
        <w:rPr>
          <w:color w:val="FF0000"/>
        </w:rPr>
        <w:t>5643154</w:t>
      </w:r>
      <w:r>
        <w:rPr>
          <w:rFonts w:hint="eastAsia"/>
          <w:color w:val="FF0000"/>
          <w:lang w:eastAsia="zh-CN"/>
        </w:rPr>
        <w:t>）</w:t>
      </w:r>
      <w:r>
        <w:rPr>
          <w:color w:val="FF0000"/>
        </w:rPr>
        <w:t>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t>请务必通读全文，</w:t>
      </w:r>
      <w:r>
        <w:rPr>
          <w:rFonts w:hint="eastAsia"/>
        </w:rPr>
        <w:t>减少口语化表述和错别字，</w:t>
      </w:r>
      <w:r>
        <w:t>保证文中专业名词统一、语句通顺、文中无错别字。</w:t>
      </w:r>
      <w:r>
        <w:rPr>
          <w:rFonts w:hint="eastAsia"/>
        </w:rPr>
        <w:t>全篇修改禁用语</w:t>
      </w:r>
      <w:r>
        <w:rPr>
          <w:rFonts w:hint="eastAsia"/>
          <w:lang w:eastAsia="zh-CN"/>
        </w:rPr>
        <w:t>：“</w:t>
      </w:r>
      <w:r>
        <w:rPr>
          <w:rFonts w:hint="eastAsia"/>
          <w:color w:val="FF0000"/>
        </w:rPr>
        <w:t>停采线</w:t>
      </w:r>
      <w:r>
        <w:rPr>
          <w:rFonts w:hint="eastAsia"/>
          <w:color w:val="FF0000"/>
          <w:lang w:eastAsia="zh-CN"/>
        </w:rPr>
        <w:t>”</w:t>
      </w:r>
      <w:r>
        <w:rPr>
          <w:rFonts w:hint="eastAsia"/>
          <w:color w:val="FF0000"/>
        </w:rPr>
        <w:t>改为</w:t>
      </w:r>
      <w:r>
        <w:rPr>
          <w:rFonts w:hint="eastAsia"/>
          <w:color w:val="FF0000"/>
          <w:lang w:eastAsia="zh-CN"/>
        </w:rPr>
        <w:t>“</w:t>
      </w:r>
      <w:r>
        <w:rPr>
          <w:rFonts w:hint="eastAsia"/>
          <w:color w:val="FF0000"/>
        </w:rPr>
        <w:t>终采线</w:t>
      </w:r>
      <w:r>
        <w:rPr>
          <w:rFonts w:hint="eastAsia"/>
          <w:color w:val="FF0000"/>
          <w:lang w:eastAsia="zh-CN"/>
        </w:rPr>
        <w:t>”，“</w:t>
      </w:r>
      <w:r>
        <w:rPr>
          <w:rFonts w:hint="eastAsia"/>
          <w:color w:val="FF0000"/>
        </w:rPr>
        <w:t>顺槽</w:t>
      </w:r>
      <w:r>
        <w:rPr>
          <w:rFonts w:hint="eastAsia"/>
          <w:color w:val="FF0000"/>
          <w:lang w:eastAsia="zh-CN"/>
        </w:rPr>
        <w:t>”</w:t>
      </w:r>
      <w:r>
        <w:rPr>
          <w:rFonts w:hint="eastAsia"/>
          <w:color w:val="FF0000"/>
        </w:rPr>
        <w:t>改为</w:t>
      </w:r>
      <w:r>
        <w:rPr>
          <w:rFonts w:hint="eastAsia"/>
          <w:color w:val="FF0000"/>
          <w:lang w:eastAsia="zh-CN"/>
        </w:rPr>
        <w:t>“</w:t>
      </w:r>
      <w:r>
        <w:rPr>
          <w:rFonts w:hint="eastAsia"/>
          <w:color w:val="FF0000"/>
        </w:rPr>
        <w:t>巷道</w:t>
      </w:r>
      <w:r>
        <w:rPr>
          <w:rFonts w:hint="eastAsia"/>
          <w:color w:val="FF0000"/>
          <w:lang w:eastAsia="zh-CN"/>
        </w:rPr>
        <w:t>”</w:t>
      </w:r>
      <w:r>
        <w:rPr>
          <w:rFonts w:hint="eastAsia"/>
        </w:rPr>
        <w:t>。</w:t>
      </w:r>
    </w:p>
    <w:p>
      <w:pPr>
        <w:pStyle w:val="6"/>
        <w:numPr>
          <w:ilvl w:val="0"/>
          <w:numId w:val="1"/>
        </w:numPr>
        <w:spacing w:line="360" w:lineRule="exact"/>
        <w:rPr>
          <w:color w:val="000000"/>
        </w:rPr>
      </w:pPr>
      <w:r>
        <w:rPr>
          <w:rFonts w:hint="eastAsia"/>
        </w:rPr>
        <w:t>文中全部变量均需在第一次出现处解释。变量及变量解释要有唯一性；变量</w:t>
      </w:r>
      <w:r>
        <w:t>大小写、正斜体必须全文一致</w:t>
      </w:r>
      <w:r>
        <w:rPr>
          <w:rFonts w:hint="eastAsia"/>
        </w:rPr>
        <w:t>；变量须用单个斜体字母表示，必要时可加注下角标。</w:t>
      </w:r>
      <w:r>
        <w:rPr>
          <w:rFonts w:hint="eastAsia"/>
          <w:color w:val="FF0000"/>
        </w:rPr>
        <w:t>数值无需三位一空，数值和单位之前空一格</w:t>
      </w:r>
      <w:r>
        <w:rPr>
          <w:rFonts w:hint="eastAsia"/>
        </w:rPr>
        <w:t>，如“1 000m”应修改为“1000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m”。</w:t>
      </w:r>
      <w:r>
        <w:rPr>
          <w:rFonts w:hint="eastAsia"/>
          <w:color w:val="FF0000"/>
        </w:rPr>
        <w:t>注意数值单位，如：煤层厚度</w:t>
      </w:r>
      <w:r>
        <w:rPr>
          <w:rFonts w:hint="eastAsia" w:cs="宋体"/>
          <w:color w:val="FF0000"/>
        </w:rPr>
        <w:t>变化为</w:t>
      </w:r>
      <w:r>
        <w:rPr>
          <w:color w:val="FF0000"/>
        </w:rPr>
        <w:t>20~37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color w:val="FF0000"/>
        </w:rPr>
        <w:t>m</w:t>
      </w:r>
      <w:r>
        <w:rPr>
          <w:rFonts w:hint="eastAsia"/>
          <w:color w:val="FF0000"/>
        </w:rPr>
        <w:t>，可以简写；锚杆锚索规格为</w:t>
      </w:r>
      <w:r>
        <w:rPr>
          <w:color w:val="FF0000"/>
        </w:rPr>
        <w:t>Φ</w:t>
      </w:r>
      <w:r>
        <w:rPr>
          <w:rFonts w:hint="eastAsia"/>
          <w:color w:val="FF0000"/>
        </w:rPr>
        <w:t>18. 9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color w:val="FF0000"/>
        </w:rPr>
        <w:t>mm×8250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color w:val="FF0000"/>
        </w:rPr>
        <w:t>mm，单位不可简写。</w:t>
      </w:r>
      <w:r>
        <w:rPr>
          <w:rFonts w:hint="eastAsia"/>
        </w:rPr>
        <w:t>请认真仔细阅读全文，按要求修改。</w:t>
      </w:r>
    </w:p>
    <w:p>
      <w:pPr>
        <w:pStyle w:val="6"/>
        <w:numPr>
          <w:ilvl w:val="0"/>
          <w:numId w:val="1"/>
        </w:numPr>
        <w:spacing w:line="360" w:lineRule="exact"/>
        <w:jc w:val="both"/>
        <w:rPr>
          <w:b/>
          <w:bCs/>
          <w:color w:val="FF0000"/>
        </w:rPr>
      </w:pPr>
      <w:r>
        <w:rPr>
          <w:rFonts w:hint="eastAsia"/>
        </w:rPr>
        <w:t>文中附图不</w:t>
      </w:r>
      <w:r>
        <w:rPr>
          <w:rFonts w:hint="eastAsia"/>
          <w:lang w:val="en-US" w:eastAsia="zh-CN"/>
        </w:rPr>
        <w:t>宜</w:t>
      </w:r>
      <w:r>
        <w:rPr>
          <w:rFonts w:hint="eastAsia"/>
        </w:rPr>
        <w:t>过多，仅挑选有代表性及必须展示的附图，如有照片类附图必须要展示，请提高分辨率及亮度。</w:t>
      </w:r>
      <w:r>
        <w:t>请合理简化复杂的图形，采用矢量图，保留图中的重要信息。请注意标明曲线图横纵坐标的含义及单位，保持刻度均匀;</w:t>
      </w:r>
      <w:r>
        <w:rPr>
          <w:rFonts w:hint="eastAsia"/>
        </w:rPr>
        <w:t>数值模拟结果图只需显示模拟结果及图例，不要提供整个模拟界面截图，图例:E-02...改为科学计数法表示；塑性区图例翻译成中文。图例名称改为中文，并标明数据物理含义、单位。</w:t>
      </w:r>
      <w:r>
        <w:rPr>
          <w:rFonts w:hint="eastAsia"/>
          <w:b/>
          <w:bCs/>
          <w:color w:val="FF0000"/>
        </w:rPr>
        <w:t>除照片外，论文中所有附图请务必提供矢量图，否则文章将返修。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rPr>
          <w:rFonts w:hint="eastAsia"/>
          <w:color w:val="FF0000"/>
        </w:rPr>
        <w:t>图表具体要求</w:t>
      </w:r>
      <w:r>
        <w:rPr>
          <w:color w:val="FF0000"/>
        </w:rPr>
        <w:t>:</w:t>
      </w:r>
      <w:r>
        <w:rPr>
          <w:color w:val="000000"/>
        </w:rPr>
        <w:t>要求图片清晰可辨，数值模拟图请彩色印刷，过于复杂的图形请合理简化；非照片图形的背景色均用白色；曲线图要求图例清晰规范、横纵坐标物理量/单位书写正确； 图中文字若为英文务必翻译为中文；表格设计应采用三线表格式，文中图、表的内容不要重复；</w:t>
      </w:r>
      <w:r>
        <w:rPr>
          <w:color w:val="FF0000"/>
        </w:rPr>
        <w:t>图表名</w:t>
      </w:r>
      <w:r>
        <w:rPr>
          <w:rFonts w:hint="eastAsia"/>
          <w:color w:val="FF0000"/>
        </w:rPr>
        <w:t>无需</w:t>
      </w:r>
      <w:r>
        <w:rPr>
          <w:color w:val="FF0000"/>
        </w:rPr>
        <w:t>均需中英文对照</w:t>
      </w:r>
      <w:r>
        <w:rPr>
          <w:color w:val="000000"/>
        </w:rPr>
        <w:t>。</w:t>
      </w:r>
      <w:r>
        <w:rPr>
          <w:rFonts w:hint="eastAsia"/>
          <w:color w:val="000000"/>
        </w:rPr>
        <w:t>矢量图格式要求：①若原图为PPT所画，可提供源文件（PPT文件）；②若原图为corelDRAW所画，可提供源文件(cdr格式文件)；③若原图为Excel所画，可提供Excel原图文件；④若原图为Origin、AutoCAD、Matlab、Comsol、visio等所画，请用源文件导出为PDF（不是另存为PDF格式）、Ai、eps等矢量格式文件。⑤请注意标明曲线图横纵坐标的含义及单位，保持刻度均匀;请标明数值模拟图的图例，以及数据物理含义、单位。</w:t>
      </w:r>
    </w:p>
    <w:p>
      <w:pPr>
        <w:pStyle w:val="6"/>
        <w:numPr>
          <w:ilvl w:val="0"/>
          <w:numId w:val="1"/>
        </w:numPr>
        <w:spacing w:line="360" w:lineRule="exact"/>
        <w:jc w:val="both"/>
      </w:pPr>
      <w:r>
        <w:rPr>
          <w:rFonts w:hint="eastAsia"/>
          <w:color w:val="FF0000"/>
        </w:rPr>
        <w:t>为方便作者排版及我刊编辑审阅文章，以下为作者提供了我刊稿件的格式要求及模板。</w:t>
      </w:r>
    </w:p>
    <w:p>
      <w:pPr>
        <w:pStyle w:val="6"/>
        <w:spacing w:line="360" w:lineRule="exact"/>
        <w:ind w:left="780"/>
        <w:jc w:val="both"/>
      </w:pPr>
      <w:r>
        <w:rPr>
          <w:rFonts w:hint="eastAsia"/>
          <w:b/>
          <w:bCs/>
          <w:color w:val="FF0000"/>
        </w:rPr>
        <w:t>方法①：</w:t>
      </w:r>
      <w:r>
        <w:rPr>
          <w:rFonts w:hint="eastAsia"/>
        </w:rPr>
        <w:t>把作者文章可删除的样式全部删除，然后拷贝相应的内容至对应项目处。如：先复制文章标题，再选中论文模板的标题粘贴，即完成标题的排版，其余均同上法操作即可以完成排版。</w:t>
      </w:r>
    </w:p>
    <w:p>
      <w:pPr>
        <w:pStyle w:val="6"/>
        <w:spacing w:line="360" w:lineRule="exact"/>
        <w:ind w:left="780"/>
        <w:jc w:val="both"/>
      </w:pPr>
      <w:r>
        <w:rPr>
          <w:rFonts w:hint="eastAsia"/>
          <w:b/>
          <w:bCs/>
          <w:color w:val="FF0000"/>
        </w:rPr>
        <w:t>方法②：</w:t>
      </w:r>
      <w:r>
        <w:rPr>
          <w:rFonts w:hint="eastAsia"/>
        </w:rPr>
        <w:t>将作者文章中的内容粘贴至我刊已剪辑好的稿件模板中，粘贴时选择只保留文本，其余均同上法操作即可以完成排版。</w:t>
      </w:r>
    </w:p>
    <w:p>
      <w:pPr>
        <w:pStyle w:val="6"/>
        <w:spacing w:line="360" w:lineRule="exact"/>
        <w:jc w:val="both"/>
        <w:rPr>
          <w:b/>
          <w:bCs/>
          <w:color w:val="FF0000"/>
          <w:sz w:val="22"/>
          <w:szCs w:val="22"/>
        </w:rPr>
      </w:pPr>
      <w:r>
        <w:rPr>
          <w:rFonts w:hint="eastAsia"/>
          <w:b/>
          <w:bCs/>
          <w:color w:val="FF0000"/>
          <w:sz w:val="22"/>
          <w:szCs w:val="22"/>
          <w:highlight w:val="yellow"/>
        </w:rPr>
        <w:t>重要提醒：因我刊2</w:t>
      </w:r>
      <w:r>
        <w:rPr>
          <w:b/>
          <w:bCs/>
          <w:color w:val="FF0000"/>
          <w:sz w:val="22"/>
          <w:szCs w:val="22"/>
          <w:highlight w:val="yellow"/>
        </w:rPr>
        <w:t>024</w:t>
      </w:r>
      <w:r>
        <w:rPr>
          <w:rFonts w:hint="eastAsia"/>
          <w:b/>
          <w:bCs/>
          <w:color w:val="FF0000"/>
          <w:sz w:val="22"/>
          <w:szCs w:val="22"/>
          <w:highlight w:val="yellow"/>
        </w:rPr>
        <w:t>年改版，需要您提供图名、表名和参考文献</w:t>
      </w:r>
      <w:r>
        <w:rPr>
          <w:rFonts w:hint="eastAsia"/>
          <w:b/>
          <w:bCs/>
          <w:color w:val="FF0000"/>
          <w:sz w:val="22"/>
          <w:szCs w:val="22"/>
          <w:highlight w:val="yellow"/>
          <w:lang w:val="en-US" w:eastAsia="zh-CN"/>
        </w:rPr>
        <w:t>中的中文期刊文献</w:t>
      </w:r>
      <w:r>
        <w:rPr>
          <w:rFonts w:hint="eastAsia"/>
          <w:b/>
          <w:bCs/>
          <w:color w:val="FF0000"/>
          <w:sz w:val="22"/>
          <w:szCs w:val="22"/>
          <w:highlight w:val="yellow"/>
        </w:rPr>
        <w:t>的</w:t>
      </w:r>
      <w:r>
        <w:rPr>
          <w:rFonts w:hint="eastAsia"/>
          <w:b/>
          <w:bCs/>
          <w:color w:val="FF0000"/>
          <w:sz w:val="22"/>
          <w:szCs w:val="22"/>
          <w:highlight w:val="yellow"/>
          <w:lang w:val="en-US" w:eastAsia="zh-CN"/>
        </w:rPr>
        <w:t>英文</w:t>
      </w:r>
      <w:r>
        <w:rPr>
          <w:rFonts w:hint="eastAsia"/>
          <w:b/>
          <w:bCs/>
          <w:color w:val="FF0000"/>
          <w:sz w:val="22"/>
          <w:szCs w:val="22"/>
          <w:highlight w:val="yellow"/>
        </w:rPr>
        <w:t>翻译</w:t>
      </w:r>
      <w:r>
        <w:rPr>
          <w:rFonts w:hint="eastAsia"/>
          <w:b/>
          <w:bCs/>
          <w:color w:val="FF0000"/>
          <w:sz w:val="22"/>
          <w:szCs w:val="22"/>
          <w:highlight w:val="yellow"/>
          <w:lang w:val="en-US" w:eastAsia="zh-CN"/>
        </w:rPr>
        <w:t>（硕博论文、会议论文、专著等文献不需要翻译）</w:t>
      </w:r>
      <w:r>
        <w:rPr>
          <w:rFonts w:hint="eastAsia"/>
          <w:b/>
          <w:bCs/>
          <w:color w:val="FF0000"/>
          <w:sz w:val="22"/>
          <w:szCs w:val="22"/>
          <w:highlight w:val="yellow"/>
        </w:rPr>
        <w:t>。</w:t>
      </w:r>
    </w:p>
    <w:p>
      <w:pPr>
        <w:pStyle w:val="6"/>
        <w:spacing w:line="360" w:lineRule="exact"/>
        <w:jc w:val="both"/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1、请提供word版本的修改稿（修改部分用红色字体显示），并在修改稿后附针对外审专家问题的“一问一答”式修改说明；</w:t>
      </w:r>
    </w:p>
    <w:p>
      <w:pPr>
        <w:pStyle w:val="6"/>
        <w:spacing w:line="360" w:lineRule="exact"/>
        <w:jc w:val="both"/>
        <w:rPr>
          <w:b/>
          <w:bCs/>
          <w:color w:val="FF0000"/>
          <w:highlight w:val="yellow"/>
        </w:rPr>
      </w:pPr>
      <w:r>
        <w:rPr>
          <w:b/>
          <w:bCs/>
          <w:color w:val="FF0000"/>
          <w:highlight w:val="yellow"/>
        </w:rPr>
        <w:t>2</w:t>
      </w:r>
      <w:r>
        <w:rPr>
          <w:rFonts w:hint="eastAsia"/>
          <w:b/>
          <w:bCs/>
          <w:color w:val="FF0000"/>
          <w:highlight w:val="yellow"/>
        </w:rPr>
        <w:t>、附件内有具体格式要求及指导意见，请作者仔细阅读并按照要求及格式逐条对照修改，请作者务必规范论文图、表、公式、参考文献等写作细节（图名、表名需要中英文对照，参考文献需要双语翻译，具体要求及操作方法见附录（一）、附录（二））。</w:t>
      </w:r>
    </w:p>
    <w:p>
      <w:pPr>
        <w:pStyle w:val="6"/>
        <w:spacing w:line="360" w:lineRule="exact"/>
        <w:jc w:val="both"/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3、文章附图按要求修改后，发送至指定邮箱或之前与您邮件往来的邮箱，回复邮件主题命名为：稿件编号+第一作者附图，范例：20</w:t>
      </w:r>
      <w:r>
        <w:rPr>
          <w:b/>
          <w:bCs/>
          <w:color w:val="FF0000"/>
        </w:rPr>
        <w:t>220</w:t>
      </w:r>
      <w:r>
        <w:rPr>
          <w:rFonts w:hint="eastAsia"/>
          <w:b/>
          <w:bCs/>
          <w:color w:val="FF0000"/>
        </w:rPr>
        <w:t>001</w:t>
      </w:r>
      <w:r>
        <w:rPr>
          <w:b/>
          <w:bCs/>
          <w:color w:val="FF0000"/>
        </w:rPr>
        <w:t>+</w:t>
      </w:r>
      <w:r>
        <w:rPr>
          <w:rFonts w:hint="eastAsia"/>
          <w:b/>
          <w:bCs/>
          <w:color w:val="FF0000"/>
        </w:rPr>
        <w:t>张三附图。</w:t>
      </w:r>
    </w:p>
    <w:p>
      <w:pPr>
        <w:pStyle w:val="6"/>
        <w:spacing w:line="360" w:lineRule="exact"/>
        <w:jc w:val="both"/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4、文章修改质量的好坏直接影响文章的处理流程及速度，请作者务必认真对待。</w:t>
      </w:r>
    </w:p>
    <w:p>
      <w:pPr>
        <w:pStyle w:val="6"/>
        <w:spacing w:line="360" w:lineRule="exact"/>
        <w:jc w:val="both"/>
        <w:rPr>
          <w:b/>
          <w:bCs/>
        </w:rPr>
      </w:pPr>
      <w:r>
        <w:rPr>
          <w:b/>
          <w:bCs/>
        </w:rPr>
        <w:br w:type="page"/>
      </w:r>
    </w:p>
    <w:p>
      <w:pPr>
        <w:pStyle w:val="6"/>
        <w:spacing w:line="360" w:lineRule="exact"/>
      </w:pPr>
      <w:r>
        <w:t>收稿日期：2020-04-30</w:t>
      </w:r>
    </w:p>
    <w:p>
      <w:pPr>
        <w:spacing w:line="288" w:lineRule="auto"/>
        <w:jc w:val="left"/>
      </w:pPr>
      <w:commentRangeStart w:id="0"/>
      <w:r>
        <w:rPr>
          <w:rFonts w:hint="eastAsia"/>
        </w:rPr>
        <w:t>项目</w:t>
      </w:r>
      <w:r>
        <w:t>基金：</w:t>
      </w:r>
      <w:r>
        <w:rPr>
          <w:rFonts w:hint="eastAsia"/>
        </w:rPr>
        <w:t>河南省科技创新领军人才计划(204200510032)；河南理工大学杰出青年基金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（J2018-1）</w:t>
      </w:r>
      <w:commentRangeEnd w:id="0"/>
      <w:r>
        <w:rPr>
          <w:rStyle w:val="30"/>
        </w:rPr>
        <w:commentReference w:id="0"/>
      </w:r>
    </w:p>
    <w:p>
      <w:pPr>
        <w:spacing w:line="288" w:lineRule="auto"/>
        <w:jc w:val="left"/>
      </w:pPr>
      <w:commentRangeStart w:id="1"/>
      <w:r>
        <w:rPr>
          <w:rFonts w:hint="eastAsia"/>
        </w:rPr>
        <w:t>作者</w:t>
      </w:r>
      <w:r>
        <w:t>简介：</w:t>
      </w:r>
      <w:r>
        <w:rPr>
          <w:rFonts w:hint="eastAsia"/>
        </w:rPr>
        <w:t>付建华（</w:t>
      </w:r>
      <w:r>
        <w:t>1987</w:t>
      </w:r>
      <w:r>
        <w:rPr>
          <w:rFonts w:hint="eastAsia"/>
        </w:rPr>
        <w:t>－</w:t>
      </w:r>
      <w:r>
        <w:t>）</w:t>
      </w:r>
      <w:r>
        <w:rPr>
          <w:rFonts w:hint="eastAsia"/>
        </w:rPr>
        <w:t>，</w:t>
      </w:r>
      <w:r>
        <w:t>男，</w:t>
      </w:r>
      <w:r>
        <w:rPr>
          <w:rFonts w:hint="eastAsia"/>
        </w:rPr>
        <w:t>河南</w:t>
      </w:r>
      <w:r>
        <w:t>焦作人，博士，</w:t>
      </w:r>
      <w:r>
        <w:rPr>
          <w:rFonts w:hint="eastAsia"/>
        </w:rPr>
        <w:t>工程师，主要</w:t>
      </w:r>
      <w:r>
        <w:t>从事</w:t>
      </w:r>
      <w:r>
        <w:rPr>
          <w:rFonts w:hint="eastAsia"/>
        </w:rPr>
        <w:t>围岩控制及灾害</w:t>
      </w:r>
      <w:r>
        <w:t>防治工作，</w:t>
      </w:r>
      <w:r>
        <w:rPr>
          <w:rFonts w:hint="eastAsia"/>
        </w:rPr>
        <w:t>E</w:t>
      </w:r>
      <w:r>
        <w:t>-mail：</w:t>
      </w:r>
      <w:r>
        <w:rPr>
          <w:color w:val="auto"/>
          <w:u w:val="none"/>
        </w:rPr>
        <w:t>jianhua198727@163.com</w:t>
      </w:r>
      <w:r>
        <w:rPr>
          <w:rStyle w:val="29"/>
          <w:rFonts w:hint="eastAsia"/>
          <w:lang w:eastAsia="zh-CN"/>
        </w:rPr>
        <w:t>。</w:t>
      </w:r>
      <w:commentRangeEnd w:id="1"/>
      <w:r>
        <w:rPr>
          <w:rStyle w:val="30"/>
        </w:rPr>
        <w:commentReference w:id="1"/>
      </w:r>
    </w:p>
    <w:p>
      <w:pPr>
        <w:spacing w:line="288" w:lineRule="auto"/>
        <w:jc w:val="left"/>
      </w:pPr>
      <w:commentRangeStart w:id="2"/>
      <w:r>
        <w:rPr>
          <w:rFonts w:hint="eastAsia"/>
        </w:rPr>
        <w:t>中图分类号：TD</w:t>
      </w:r>
      <w:r>
        <w:t>353</w:t>
      </w:r>
      <w:commentRangeEnd w:id="2"/>
      <w:r>
        <w:rPr>
          <w:rStyle w:val="30"/>
        </w:rPr>
        <w:commentReference w:id="2"/>
      </w:r>
    </w:p>
    <w:p>
      <w:pPr>
        <w:pStyle w:val="55"/>
        <w:rPr>
          <w:rFonts w:asciiTheme="minorEastAsia" w:hAnsiTheme="minorEastAsia" w:eastAsiaTheme="minorEastAsia"/>
          <w:b/>
          <w:bCs/>
        </w:rPr>
      </w:pPr>
      <w:commentRangeStart w:id="3"/>
      <w:r>
        <w:rPr>
          <w:rFonts w:hint="eastAsia" w:asciiTheme="minorEastAsia" w:hAnsiTheme="minorEastAsia" w:eastAsiaTheme="minorEastAsia"/>
          <w:b/>
          <w:bCs/>
        </w:rPr>
        <w:t>郑州矿区“三软</w:t>
      </w:r>
      <w:r>
        <w:rPr>
          <w:rFonts w:asciiTheme="minorEastAsia" w:hAnsiTheme="minorEastAsia" w:eastAsiaTheme="minorEastAsia"/>
          <w:b/>
          <w:bCs/>
        </w:rPr>
        <w:t>”</w:t>
      </w:r>
      <w:r>
        <w:rPr>
          <w:rFonts w:hint="eastAsia" w:asciiTheme="minorEastAsia" w:hAnsiTheme="minorEastAsia" w:eastAsiaTheme="minorEastAsia"/>
          <w:b/>
          <w:bCs/>
        </w:rPr>
        <w:t>煤层锚网支护技术研究与应用</w:t>
      </w:r>
      <w:commentRangeEnd w:id="3"/>
      <w:r>
        <w:rPr>
          <w:rStyle w:val="30"/>
        </w:rPr>
        <w:commentReference w:id="3"/>
      </w:r>
    </w:p>
    <w:p>
      <w:pPr>
        <w:pStyle w:val="59"/>
        <w:spacing w:after="7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OLE_LINK5"/>
      <w:bookmarkStart w:id="1" w:name="OLE_LINK4"/>
      <w:commentRangeStart w:id="4"/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付建华</w:t>
      </w:r>
      <w:r>
        <w:rPr>
          <w:rFonts w:hint="eastAsia"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,2</w:t>
      </w:r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，王登科</w:t>
      </w:r>
      <w:r>
        <w:rPr>
          <w:rFonts w:hint="eastAsia"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，王建</w:t>
      </w:r>
      <w:r>
        <w:rPr>
          <w:rFonts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伟</w:t>
      </w:r>
      <w:r>
        <w:rPr>
          <w:rFonts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commentRangeStart w:id="5"/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魏 强</w:t>
      </w:r>
      <w:commentRangeEnd w:id="5"/>
      <w:r>
        <w:rPr>
          <w:rStyle w:val="30"/>
          <w:rFonts w:eastAsia="宋体"/>
        </w:rPr>
        <w:commentReference w:id="5"/>
      </w:r>
      <w:r>
        <w:rPr>
          <w:rFonts w:hint="eastAsia"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，曾凡</w:t>
      </w:r>
      <w:r>
        <w:rPr>
          <w:rFonts w:ascii="楷体" w:hAnsi="楷体" w:eastAsia="楷体"/>
          <w:color w:val="000000" w:themeColor="text1"/>
          <w:szCs w:val="21"/>
          <w14:textFill>
            <w14:solidFill>
              <w14:schemeClr w14:val="tx1"/>
            </w14:solidFill>
          </w14:textFill>
        </w:rPr>
        <w:t>超</w:t>
      </w:r>
      <w:r>
        <w:rPr>
          <w:rFonts w:hint="eastAsia" w:ascii="楷体" w:hAnsi="楷体" w:eastAsia="楷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</w:p>
    <w:p>
      <w:pPr>
        <w:pStyle w:val="60"/>
        <w:spacing w:afterLines="0"/>
        <w:rPr>
          <w:rFonts w:ascii="楷体" w:hAnsi="楷体" w:eastAsia="楷体" w:cs="宋体"/>
          <w:color w:val="000000"/>
          <w:lang w:val="en-GB"/>
        </w:rPr>
      </w:pPr>
      <w:r>
        <w:rPr>
          <w:rFonts w:hint="eastAsia" w:ascii="楷体" w:hAnsi="楷体" w:eastAsia="楷体" w:cs="宋体"/>
          <w:color w:val="000000"/>
          <w:lang w:val="en-GB"/>
        </w:rPr>
        <w:t>（</w:t>
      </w:r>
      <w:r>
        <w:rPr>
          <w:rFonts w:ascii="楷体" w:hAnsi="楷体" w:eastAsia="楷体" w:cs="宋体"/>
          <w:color w:val="000000"/>
          <w:lang w:val="en-GB"/>
        </w:rPr>
        <w:t>1.</w:t>
      </w:r>
      <w:r>
        <w:rPr>
          <w:rFonts w:hint="eastAsia" w:ascii="楷体" w:hAnsi="楷体" w:eastAsia="楷体" w:cs="宋体"/>
          <w:color w:val="000000"/>
          <w:lang w:val="en-GB"/>
        </w:rPr>
        <w:t>河南</w:t>
      </w:r>
      <w:r>
        <w:rPr>
          <w:rFonts w:ascii="楷体" w:hAnsi="楷体" w:eastAsia="楷体" w:cs="宋体"/>
          <w:color w:val="000000"/>
          <w:lang w:val="en-GB"/>
        </w:rPr>
        <w:t>理工大学</w:t>
      </w:r>
      <w:r>
        <w:rPr>
          <w:rFonts w:hint="eastAsia" w:ascii="楷体" w:hAnsi="楷体" w:eastAsia="楷体" w:cs="宋体"/>
          <w:color w:val="000000"/>
          <w:lang w:val="en-GB"/>
        </w:rPr>
        <w:t xml:space="preserve"> 安全</w:t>
      </w:r>
      <w:r>
        <w:rPr>
          <w:rFonts w:ascii="楷体" w:hAnsi="楷体" w:eastAsia="楷体" w:cs="宋体"/>
          <w:color w:val="000000"/>
          <w:lang w:val="en-GB"/>
        </w:rPr>
        <w:t>科学与工程学院</w:t>
      </w:r>
      <w:r>
        <w:rPr>
          <w:rFonts w:hint="eastAsia" w:ascii="楷体" w:hAnsi="楷体" w:eastAsia="楷体" w:cs="宋体"/>
          <w:color w:val="000000"/>
          <w:lang w:val="en-GB"/>
        </w:rPr>
        <w:t>，河南 焦作</w:t>
      </w:r>
      <w:r>
        <w:rPr>
          <w:rFonts w:ascii="楷体" w:hAnsi="楷体" w:eastAsia="楷体" w:cs="宋体"/>
          <w:color w:val="000000"/>
          <w:lang w:val="en-GB"/>
        </w:rPr>
        <w:t>454000</w:t>
      </w:r>
      <w:r>
        <w:rPr>
          <w:rFonts w:hint="eastAsia" w:ascii="楷体" w:hAnsi="楷体" w:eastAsia="楷体" w:cs="宋体"/>
          <w:color w:val="000000"/>
          <w:lang w:val="en-GB"/>
        </w:rPr>
        <w:t>;</w:t>
      </w:r>
    </w:p>
    <w:p>
      <w:pPr>
        <w:pStyle w:val="60"/>
        <w:spacing w:afterLines="0"/>
        <w:rPr>
          <w:rFonts w:ascii="楷体" w:hAnsi="楷体" w:eastAsia="楷体" w:cs="宋体"/>
          <w:color w:val="000000"/>
          <w:lang w:val="en-GB"/>
        </w:rPr>
      </w:pPr>
      <w:r>
        <w:rPr>
          <w:rFonts w:ascii="楷体" w:hAnsi="楷体" w:eastAsia="楷体" w:cs="宋体"/>
          <w:color w:val="000000"/>
          <w:lang w:val="en-GB"/>
        </w:rPr>
        <w:t>2.</w:t>
      </w:r>
      <w:r>
        <w:rPr>
          <w:rFonts w:hint="eastAsia" w:ascii="楷体" w:hAnsi="楷体" w:eastAsia="楷体" w:cs="宋体"/>
          <w:color w:val="000000"/>
          <w:lang w:val="en-GB"/>
        </w:rPr>
        <w:t>郑州煤炭工业</w:t>
      </w:r>
      <w:r>
        <w:rPr>
          <w:rFonts w:ascii="楷体" w:hAnsi="楷体" w:eastAsia="楷体" w:cs="宋体"/>
          <w:color w:val="000000"/>
          <w:lang w:val="en-GB"/>
        </w:rPr>
        <w:t>(</w:t>
      </w:r>
      <w:r>
        <w:rPr>
          <w:rFonts w:hint="eastAsia" w:ascii="楷体" w:hAnsi="楷体" w:eastAsia="楷体" w:cs="宋体"/>
          <w:color w:val="000000"/>
          <w:lang w:val="en-GB"/>
        </w:rPr>
        <w:t>集团</w:t>
      </w:r>
      <w:r>
        <w:rPr>
          <w:rFonts w:ascii="楷体" w:hAnsi="楷体" w:eastAsia="楷体" w:cs="宋体"/>
          <w:color w:val="000000"/>
          <w:lang w:val="en-GB"/>
        </w:rPr>
        <w:t>)</w:t>
      </w:r>
      <w:r>
        <w:rPr>
          <w:rFonts w:hint="eastAsia" w:ascii="楷体" w:hAnsi="楷体" w:eastAsia="楷体" w:cs="宋体"/>
          <w:color w:val="000000"/>
          <w:lang w:val="en-GB"/>
        </w:rPr>
        <w:t>有限责任公司，河南 郑州</w:t>
      </w:r>
      <w:r>
        <w:rPr>
          <w:rFonts w:ascii="楷体" w:hAnsi="楷体" w:eastAsia="楷体" w:cs="宋体"/>
          <w:color w:val="000000"/>
          <w:lang w:val="en-GB"/>
        </w:rPr>
        <w:t>450000</w:t>
      </w:r>
      <w:r>
        <w:rPr>
          <w:rFonts w:hint="eastAsia" w:ascii="楷体" w:hAnsi="楷体" w:eastAsia="楷体" w:cs="宋体"/>
          <w:color w:val="000000"/>
          <w:lang w:val="en-GB"/>
        </w:rPr>
        <w:t>）</w:t>
      </w:r>
      <w:commentRangeEnd w:id="4"/>
      <w:r>
        <w:rPr>
          <w:rStyle w:val="30"/>
        </w:rPr>
        <w:commentReference w:id="4"/>
      </w:r>
    </w:p>
    <w:p>
      <w:pPr>
        <w:adjustRightInd w:val="0"/>
        <w:snapToGrid w:val="0"/>
        <w:spacing w:line="320" w:lineRule="atLeast"/>
        <w:ind w:left="420" w:leftChars="200" w:right="420" w:rightChars="200" w:firstLine="422" w:firstLineChars="200"/>
        <w:rPr>
          <w:rFonts w:eastAsia="楷体"/>
          <w:color w:val="000000"/>
        </w:rPr>
      </w:pPr>
      <w:commentRangeStart w:id="6"/>
      <w:r>
        <w:rPr>
          <w:rFonts w:ascii="仿宋" w:hAnsi="仿宋" w:eastAsia="仿宋"/>
          <w:b/>
        </w:rPr>
        <w:t>摘 要:</w:t>
      </w:r>
      <w:commentRangeEnd w:id="6"/>
      <w:r>
        <w:rPr>
          <w:rStyle w:val="30"/>
          <w:rFonts w:ascii="仿宋" w:hAnsi="仿宋" w:eastAsia="仿宋"/>
        </w:rPr>
        <w:commentReference w:id="6"/>
      </w:r>
      <w:r>
        <w:rPr>
          <w:rFonts w:hint="eastAsia" w:ascii="宋体" w:hAnsi="宋体"/>
        </w:rPr>
        <w:t xml:space="preserve"> </w:t>
      </w:r>
      <w:r>
        <w:rPr>
          <w:rFonts w:hint="eastAsia" w:eastAsia="楷体"/>
          <w:color w:val="000000"/>
        </w:rPr>
        <w:t>针对郑州矿区“三软”煤层煤巷支护技术难题，阐释了“三软”煤层的赋存特征和形成原因，分析了三软煤巷支护失稳因素，并基于组合拱梁原理揭示了锚杆支护的作用机理，提出煤层锚固性能、锚杆预紧力、护表强度、快速安装工艺和及时支护是“三软”煤层锚网支护的关键技术。在此基础上，结合超化煤矿22011A 运输巷地质条件，进行三软特厚煤层锚网支护技术设计，现场试验结果表明: 该巷道从掘进开始到回采结束，巷道顶板离层浅基点和深基点下沉量最大值分别为48</w:t>
      </w:r>
      <w:commentRangeStart w:id="7"/>
      <w:r>
        <w:rPr>
          <w:rFonts w:hint="eastAsia" w:eastAsia="楷体"/>
          <w:color w:val="000000"/>
          <w:lang w:val="en-US" w:eastAsia="zh-CN"/>
        </w:rPr>
        <w:t xml:space="preserve"> </w:t>
      </w:r>
      <w:r>
        <w:rPr>
          <w:rFonts w:hint="eastAsia" w:eastAsia="楷体"/>
          <w:color w:val="000000"/>
        </w:rPr>
        <w:t>mm</w:t>
      </w:r>
      <w:commentRangeEnd w:id="7"/>
      <w:r>
        <w:commentReference w:id="7"/>
      </w:r>
      <w:r>
        <w:rPr>
          <w:rFonts w:hint="eastAsia" w:eastAsia="楷体"/>
          <w:color w:val="000000"/>
        </w:rPr>
        <w:t xml:space="preserve"> 和52</w:t>
      </w:r>
      <w:r>
        <w:rPr>
          <w:rFonts w:hint="eastAsia" w:eastAsia="楷体"/>
          <w:color w:val="000000"/>
          <w:lang w:val="en-US" w:eastAsia="zh-CN"/>
        </w:rPr>
        <w:t xml:space="preserve"> </w:t>
      </w:r>
      <w:r>
        <w:rPr>
          <w:rFonts w:hint="eastAsia" w:eastAsia="楷体"/>
          <w:color w:val="000000"/>
        </w:rPr>
        <w:t>mm，顶底板和两帮相对移近量值最大值分别为372</w:t>
      </w:r>
      <w:r>
        <w:rPr>
          <w:rFonts w:hint="eastAsia" w:eastAsia="楷体"/>
          <w:color w:val="000000"/>
          <w:lang w:val="en-US" w:eastAsia="zh-CN"/>
        </w:rPr>
        <w:t xml:space="preserve"> </w:t>
      </w:r>
      <w:r>
        <w:rPr>
          <w:rFonts w:hint="eastAsia" w:eastAsia="楷体"/>
          <w:color w:val="000000"/>
        </w:rPr>
        <w:t>mm 和310</w:t>
      </w:r>
      <w:r>
        <w:rPr>
          <w:rFonts w:hint="eastAsia" w:eastAsia="楷体"/>
          <w:color w:val="000000"/>
          <w:lang w:val="en-US" w:eastAsia="zh-CN"/>
        </w:rPr>
        <w:t xml:space="preserve"> </w:t>
      </w:r>
      <w:r>
        <w:rPr>
          <w:rFonts w:hint="eastAsia" w:eastAsia="楷体"/>
          <w:color w:val="000000"/>
        </w:rPr>
        <w:t>mm，有效保证了巷道的支护断面，支护效果良好。</w:t>
      </w:r>
    </w:p>
    <w:p>
      <w:pPr>
        <w:pStyle w:val="53"/>
        <w:ind w:firstLine="422" w:firstLineChars="200"/>
        <w:rPr>
          <w:color w:val="000000"/>
        </w:rPr>
      </w:pPr>
      <w:commentRangeStart w:id="8"/>
      <w:r>
        <w:rPr>
          <w:rFonts w:hint="eastAsia" w:ascii="仿宋" w:hAnsi="仿宋" w:eastAsia="仿宋"/>
          <w:b/>
        </w:rPr>
        <w:t>关键词:</w:t>
      </w:r>
      <w:r>
        <w:rPr>
          <w:rFonts w:ascii="黑体" w:eastAsia="黑体" w:cs="黑体"/>
          <w:color w:val="000000"/>
        </w:rPr>
        <w:t xml:space="preserve"> </w:t>
      </w:r>
      <w:commentRangeEnd w:id="8"/>
      <w:r>
        <w:rPr>
          <w:rStyle w:val="30"/>
          <w:rFonts w:eastAsia="宋体"/>
        </w:rPr>
        <w:commentReference w:id="8"/>
      </w:r>
      <w:r>
        <w:rPr>
          <w:rFonts w:hint="eastAsia" w:ascii="黑体" w:eastAsia="黑体" w:cs="黑体"/>
          <w:color w:val="000000"/>
        </w:rPr>
        <w:t>“</w:t>
      </w:r>
      <w:r>
        <w:rPr>
          <w:rFonts w:hint="eastAsia" w:ascii="楷体" w:hAnsi="楷体" w:eastAsia="楷体"/>
          <w:color w:val="000000"/>
        </w:rPr>
        <w:t>三软”</w:t>
      </w:r>
      <w:r>
        <w:rPr>
          <w:rFonts w:ascii="楷体" w:hAnsi="楷体" w:eastAsia="楷体"/>
          <w:color w:val="000000"/>
        </w:rPr>
        <w:t>煤层；</w:t>
      </w:r>
      <w:r>
        <w:rPr>
          <w:rFonts w:hint="eastAsia" w:ascii="楷体" w:hAnsi="楷体" w:eastAsia="楷体"/>
          <w:color w:val="000000"/>
        </w:rPr>
        <w:t>锚网支护；失稳机理；树脂锚杆</w:t>
      </w:r>
      <w:r>
        <w:rPr>
          <w:rFonts w:hint="eastAsia"/>
          <w:color w:val="000000"/>
        </w:rPr>
        <w:t>; 巷道支护</w:t>
      </w:r>
    </w:p>
    <w:p>
      <w:pPr>
        <w:pStyle w:val="53"/>
        <w:ind w:firstLine="422" w:firstLineChars="200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中图分类号:</w:t>
      </w:r>
      <w:r>
        <w:rPr>
          <w:rFonts w:ascii="仿宋" w:hAnsi="仿宋" w:eastAsia="仿宋"/>
          <w:b/>
        </w:rPr>
        <w:t xml:space="preserve"> </w:t>
      </w:r>
      <w:r>
        <w:rPr>
          <w:rFonts w:ascii="黑体" w:eastAsia="黑体" w:cs="黑体"/>
          <w:color w:val="000000"/>
        </w:rPr>
        <w:t xml:space="preserve"> </w:t>
      </w:r>
      <w:r>
        <w:rPr>
          <w:color w:val="000000"/>
        </w:rPr>
        <w:t xml:space="preserve">        </w:t>
      </w:r>
      <w:r>
        <w:rPr>
          <w:rFonts w:ascii="黑体" w:hAnsi="宋体" w:eastAsia="黑体"/>
          <w:b/>
        </w:rPr>
        <w:t xml:space="preserve"> </w:t>
      </w:r>
      <w:r>
        <w:rPr>
          <w:rFonts w:hint="eastAsia" w:ascii="仿宋" w:hAnsi="仿宋" w:eastAsia="仿宋"/>
          <w:b/>
        </w:rPr>
        <w:t>文献标志码:</w:t>
      </w:r>
      <w:r>
        <w:rPr>
          <w:rFonts w:ascii="仿宋" w:hAnsi="仿宋" w:eastAsia="仿宋"/>
          <w:b/>
        </w:rPr>
        <w:t xml:space="preserve"> </w:t>
      </w:r>
      <w:r>
        <w:rPr>
          <w:rFonts w:ascii="黑体" w:eastAsia="黑体" w:cs="黑体"/>
          <w:color w:val="000000"/>
        </w:rPr>
        <w:t xml:space="preserve">  </w:t>
      </w:r>
      <w:r>
        <w:rPr>
          <w:color w:val="000000"/>
        </w:rPr>
        <w:t xml:space="preserve">A           </w:t>
      </w:r>
      <w:r>
        <w:rPr>
          <w:rFonts w:hint="eastAsia" w:ascii="仿宋" w:hAnsi="仿宋" w:eastAsia="仿宋"/>
          <w:b/>
        </w:rPr>
        <w:t>文章编号</w:t>
      </w:r>
      <w:r>
        <w:rPr>
          <w:rFonts w:ascii="仿宋" w:hAnsi="仿宋" w:eastAsia="仿宋"/>
          <w:b/>
        </w:rPr>
        <w:t>:</w:t>
      </w:r>
    </w:p>
    <w:p>
      <w:pPr>
        <w:pStyle w:val="59"/>
        <w:spacing w:after="72"/>
        <w:rPr>
          <w:rFonts w:eastAsia="宋体"/>
          <w:b/>
          <w:sz w:val="44"/>
          <w:szCs w:val="44"/>
        </w:rPr>
      </w:pPr>
      <w:commentRangeStart w:id="9"/>
      <w:r>
        <w:rPr>
          <w:rFonts w:hint="eastAsia" w:eastAsia="宋体"/>
          <w:b/>
          <w:sz w:val="44"/>
          <w:szCs w:val="44"/>
        </w:rPr>
        <w:t xml:space="preserve">Bolt-mesh supporting for“three soft”coal seams </w:t>
      </w:r>
      <w:r>
        <w:rPr>
          <w:rFonts w:eastAsia="宋体"/>
          <w:b/>
          <w:sz w:val="44"/>
          <w:szCs w:val="44"/>
        </w:rPr>
        <w:t>in Zhengzhou mining area</w:t>
      </w:r>
      <w:commentRangeEnd w:id="9"/>
      <w:r>
        <w:rPr>
          <w:rStyle w:val="30"/>
          <w:rFonts w:eastAsia="宋体"/>
        </w:rPr>
        <w:commentReference w:id="9"/>
      </w:r>
    </w:p>
    <w:p>
      <w:pPr>
        <w:pStyle w:val="63"/>
        <w:spacing w:after="192"/>
        <w:rPr>
          <w:rFonts w:eastAsia="仿宋_GB2312"/>
          <w:i/>
          <w:color w:val="000000"/>
          <w:sz w:val="21"/>
          <w:szCs w:val="21"/>
        </w:rPr>
      </w:pPr>
      <w:commentRangeStart w:id="10"/>
      <w:r>
        <w:rPr>
          <w:rFonts w:eastAsia="仿宋_GB2312"/>
          <w:color w:val="000000"/>
          <w:sz w:val="21"/>
          <w:szCs w:val="21"/>
        </w:rPr>
        <w:t>FU Jianhua</w:t>
      </w:r>
      <w:r>
        <w:rPr>
          <w:rFonts w:eastAsia="仿宋_GB2312"/>
          <w:color w:val="000000"/>
          <w:sz w:val="21"/>
          <w:szCs w:val="21"/>
          <w:vertAlign w:val="superscript"/>
        </w:rPr>
        <w:t>1,2</w:t>
      </w:r>
      <w:r>
        <w:rPr>
          <w:rFonts w:hint="eastAsia" w:eastAsia="仿宋_GB2312"/>
          <w:color w:val="000000"/>
          <w:sz w:val="21"/>
          <w:szCs w:val="21"/>
          <w:lang w:val="en-US" w:eastAsia="zh-CN"/>
        </w:rPr>
        <w:t xml:space="preserve">, </w:t>
      </w:r>
      <w:r>
        <w:rPr>
          <w:rFonts w:eastAsia="仿宋_GB2312"/>
          <w:color w:val="000000"/>
          <w:sz w:val="21"/>
          <w:szCs w:val="21"/>
        </w:rPr>
        <w:t>WANG Dengke</w:t>
      </w:r>
      <w:r>
        <w:rPr>
          <w:rFonts w:eastAsia="仿宋_GB2312"/>
          <w:color w:val="000000"/>
          <w:sz w:val="21"/>
          <w:szCs w:val="21"/>
          <w:vertAlign w:val="superscript"/>
        </w:rPr>
        <w:t>1</w:t>
      </w:r>
      <w:r>
        <w:rPr>
          <w:rFonts w:hint="eastAsia" w:eastAsia="仿宋_GB2312"/>
          <w:color w:val="000000"/>
          <w:sz w:val="21"/>
          <w:szCs w:val="21"/>
          <w:lang w:val="en-US" w:eastAsia="zh-CN"/>
        </w:rPr>
        <w:t xml:space="preserve">, </w:t>
      </w:r>
      <w:r>
        <w:rPr>
          <w:rFonts w:eastAsia="仿宋_GB2312"/>
          <w:color w:val="000000"/>
          <w:sz w:val="21"/>
          <w:szCs w:val="21"/>
        </w:rPr>
        <w:t>WANG Jianwei</w:t>
      </w:r>
      <w:r>
        <w:rPr>
          <w:rFonts w:eastAsia="仿宋_GB2312"/>
          <w:color w:val="000000"/>
          <w:sz w:val="21"/>
          <w:szCs w:val="21"/>
          <w:vertAlign w:val="superscript"/>
        </w:rPr>
        <w:t>2</w:t>
      </w:r>
      <w:r>
        <w:rPr>
          <w:rFonts w:hint="eastAsia" w:eastAsia="仿宋_GB2312"/>
          <w:color w:val="000000"/>
          <w:sz w:val="21"/>
          <w:szCs w:val="21"/>
          <w:lang w:val="en-US" w:eastAsia="zh-CN"/>
        </w:rPr>
        <w:t xml:space="preserve">, </w:t>
      </w:r>
      <w:r>
        <w:rPr>
          <w:rFonts w:eastAsia="仿宋_GB2312"/>
          <w:color w:val="000000"/>
          <w:sz w:val="21"/>
          <w:szCs w:val="21"/>
        </w:rPr>
        <w:t>WEI Qiang</w:t>
      </w:r>
      <w:r>
        <w:rPr>
          <w:rFonts w:eastAsia="仿宋_GB2312"/>
          <w:color w:val="000000"/>
          <w:sz w:val="21"/>
          <w:szCs w:val="21"/>
          <w:vertAlign w:val="superscript"/>
        </w:rPr>
        <w:t>1</w:t>
      </w:r>
      <w:r>
        <w:rPr>
          <w:rFonts w:hint="eastAsia" w:eastAsia="仿宋_GB2312"/>
          <w:color w:val="000000"/>
          <w:sz w:val="21"/>
          <w:szCs w:val="21"/>
          <w:lang w:val="en-US" w:eastAsia="zh-CN"/>
        </w:rPr>
        <w:t xml:space="preserve">, </w:t>
      </w:r>
      <w:r>
        <w:rPr>
          <w:rFonts w:eastAsia="仿宋_GB2312"/>
          <w:color w:val="000000"/>
          <w:sz w:val="21"/>
          <w:szCs w:val="21"/>
        </w:rPr>
        <w:t>ZENG Fanchao</w:t>
      </w:r>
      <w:r>
        <w:rPr>
          <w:rFonts w:eastAsia="仿宋_GB2312"/>
          <w:color w:val="000000"/>
          <w:sz w:val="21"/>
          <w:szCs w:val="21"/>
          <w:vertAlign w:val="superscript"/>
        </w:rPr>
        <w:t>1</w:t>
      </w:r>
      <w:commentRangeEnd w:id="10"/>
      <w:r>
        <w:rPr>
          <w:rStyle w:val="30"/>
        </w:rPr>
        <w:commentReference w:id="10"/>
      </w:r>
    </w:p>
    <w:p>
      <w:pPr>
        <w:tabs>
          <w:tab w:val="left" w:pos="1440"/>
          <w:tab w:val="left" w:pos="6495"/>
        </w:tabs>
        <w:adjustRightInd w:val="0"/>
        <w:snapToGrid w:val="0"/>
        <w:jc w:val="center"/>
        <w:rPr>
          <w:rFonts w:eastAsia="仿宋_GB2312"/>
          <w:iCs/>
          <w:color w:val="000000"/>
          <w:sz w:val="18"/>
          <w:szCs w:val="18"/>
        </w:rPr>
      </w:pPr>
      <w:commentRangeStart w:id="11"/>
      <w:r>
        <w:rPr>
          <w:rFonts w:eastAsia="仿宋_GB2312"/>
          <w:iCs/>
          <w:color w:val="000000"/>
          <w:sz w:val="18"/>
          <w:szCs w:val="18"/>
        </w:rPr>
        <w:t>（School of Safety Science and Engineering</w:t>
      </w:r>
      <w:r>
        <w:rPr>
          <w:rFonts w:hint="eastAsia" w:eastAsia="仿宋_GB2312"/>
          <w:iCs/>
          <w:color w:val="000000"/>
          <w:sz w:val="18"/>
          <w:szCs w:val="18"/>
          <w:lang w:val="en-US" w:eastAsia="zh-CN"/>
        </w:rPr>
        <w:t xml:space="preserve">, </w:t>
      </w:r>
      <w:r>
        <w:rPr>
          <w:rFonts w:eastAsia="仿宋_GB2312"/>
          <w:iCs/>
          <w:color w:val="000000"/>
          <w:sz w:val="18"/>
          <w:szCs w:val="18"/>
        </w:rPr>
        <w:t>Henan Polytechnic University</w:t>
      </w:r>
      <w:r>
        <w:rPr>
          <w:rFonts w:hint="eastAsia" w:eastAsia="仿宋_GB2312"/>
          <w:iCs/>
          <w:color w:val="000000"/>
          <w:sz w:val="18"/>
          <w:szCs w:val="18"/>
          <w:lang w:val="en-US" w:eastAsia="zh-CN"/>
        </w:rPr>
        <w:t xml:space="preserve">, </w:t>
      </w:r>
      <w:r>
        <w:rPr>
          <w:rFonts w:eastAsia="仿宋_GB2312"/>
          <w:iCs/>
          <w:color w:val="000000"/>
          <w:sz w:val="18"/>
          <w:szCs w:val="18"/>
        </w:rPr>
        <w:t>Jiaozuo 454000</w:t>
      </w:r>
      <w:r>
        <w:rPr>
          <w:rFonts w:hint="eastAsia" w:eastAsia="仿宋_GB2312"/>
          <w:iCs/>
          <w:color w:val="000000"/>
          <w:sz w:val="18"/>
          <w:szCs w:val="18"/>
          <w:lang w:val="en-US" w:eastAsia="zh-CN"/>
        </w:rPr>
        <w:t xml:space="preserve">, </w:t>
      </w:r>
      <w:r>
        <w:rPr>
          <w:rFonts w:eastAsia="仿宋_GB2312"/>
          <w:iCs/>
          <w:color w:val="000000"/>
          <w:sz w:val="18"/>
          <w:szCs w:val="18"/>
        </w:rPr>
        <w:t>China;</w:t>
      </w:r>
    </w:p>
    <w:p>
      <w:pPr>
        <w:tabs>
          <w:tab w:val="left" w:pos="1440"/>
          <w:tab w:val="left" w:pos="6495"/>
        </w:tabs>
        <w:adjustRightInd w:val="0"/>
        <w:snapToGrid w:val="0"/>
        <w:jc w:val="center"/>
        <w:rPr>
          <w:iCs/>
          <w:color w:val="000000"/>
          <w:sz w:val="18"/>
          <w:szCs w:val="18"/>
        </w:rPr>
      </w:pPr>
      <w:r>
        <w:rPr>
          <w:rFonts w:eastAsia="仿宋_GB2312"/>
          <w:iCs/>
          <w:color w:val="000000"/>
          <w:sz w:val="18"/>
          <w:szCs w:val="18"/>
        </w:rPr>
        <w:t>2. Zhengzhou Coal Industry (Group) Corporation Limited Liability Company</w:t>
      </w:r>
      <w:r>
        <w:rPr>
          <w:rFonts w:hint="eastAsia" w:eastAsia="仿宋_GB2312"/>
          <w:iCs/>
          <w:color w:val="000000"/>
          <w:sz w:val="18"/>
          <w:szCs w:val="18"/>
          <w:lang w:val="en-US" w:eastAsia="zh-CN"/>
        </w:rPr>
        <w:t xml:space="preserve">, </w:t>
      </w:r>
      <w:r>
        <w:rPr>
          <w:rFonts w:eastAsia="仿宋_GB2312"/>
          <w:iCs/>
          <w:color w:val="000000"/>
          <w:sz w:val="18"/>
          <w:szCs w:val="18"/>
        </w:rPr>
        <w:t>Zhengzhou 450000</w:t>
      </w:r>
      <w:r>
        <w:rPr>
          <w:rFonts w:hint="eastAsia" w:eastAsia="仿宋_GB2312"/>
          <w:iCs/>
          <w:color w:val="000000"/>
          <w:sz w:val="18"/>
          <w:szCs w:val="18"/>
          <w:lang w:val="en-US" w:eastAsia="zh-CN"/>
        </w:rPr>
        <w:t xml:space="preserve">, </w:t>
      </w:r>
      <w:r>
        <w:rPr>
          <w:rFonts w:eastAsia="仿宋_GB2312"/>
          <w:iCs/>
          <w:color w:val="000000"/>
          <w:sz w:val="18"/>
          <w:szCs w:val="18"/>
        </w:rPr>
        <w:t>China)</w:t>
      </w:r>
      <w:commentRangeEnd w:id="11"/>
      <w:r>
        <w:rPr>
          <w:rStyle w:val="30"/>
        </w:rPr>
        <w:commentReference w:id="11"/>
      </w:r>
    </w:p>
    <w:p>
      <w:pPr>
        <w:adjustRightInd w:val="0"/>
        <w:snapToGrid w:val="0"/>
        <w:spacing w:line="320" w:lineRule="atLeast"/>
        <w:ind w:right="420" w:rightChars="200"/>
        <w:rPr>
          <w:bCs/>
          <w:sz w:val="18"/>
          <w:szCs w:val="18"/>
        </w:rPr>
      </w:pPr>
      <w:r>
        <w:rPr>
          <w:b/>
          <w:bCs/>
          <w:sz w:val="18"/>
          <w:szCs w:val="18"/>
        </w:rPr>
        <w:t>Abstract</w:t>
      </w:r>
      <w:r>
        <w:rPr>
          <w:rFonts w:hint="eastAsia"/>
          <w:b/>
          <w:bCs/>
          <w:sz w:val="18"/>
          <w:szCs w:val="18"/>
        </w:rPr>
        <w:t>：</w:t>
      </w:r>
      <w:commentRangeStart w:id="12"/>
      <w:r>
        <w:rPr>
          <w:rFonts w:hint="eastAsia"/>
          <w:bCs/>
          <w:sz w:val="18"/>
          <w:szCs w:val="18"/>
        </w:rPr>
        <w:t>Aiming at difficulties for coal roadway supporting in three soft coal seams of Zhengzhou mining area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occurrence</w:t>
      </w:r>
    </w:p>
    <w:p>
      <w:pPr>
        <w:adjustRightInd w:val="0"/>
        <w:snapToGrid w:val="0"/>
        <w:spacing w:line="320" w:lineRule="atLeast"/>
        <w:ind w:right="420" w:right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characteristics and formation mechanism of three soft coal seam is explained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and the causes for supporting instability in three</w:t>
      </w:r>
    </w:p>
    <w:p>
      <w:pPr>
        <w:adjustRightInd w:val="0"/>
        <w:snapToGrid w:val="0"/>
        <w:spacing w:line="320" w:lineRule="atLeast"/>
        <w:ind w:right="420" w:right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soft coal roadway is analyzed</w:t>
      </w:r>
      <w:r>
        <w:rPr>
          <w:rFonts w:hint="eastAsia"/>
          <w:bCs/>
          <w:sz w:val="18"/>
          <w:szCs w:val="18"/>
          <w:lang w:val="en-US" w:eastAsia="zh-CN"/>
        </w:rPr>
        <w:t xml:space="preserve">. </w:t>
      </w:r>
      <w:r>
        <w:rPr>
          <w:rFonts w:hint="eastAsia"/>
          <w:bCs/>
          <w:sz w:val="18"/>
          <w:szCs w:val="18"/>
        </w:rPr>
        <w:t>The mechanism of bolt support is revealed based on the principle of composite arch beam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and it</w:t>
      </w:r>
      <w:r>
        <w:rPr>
          <w:bCs/>
          <w:sz w:val="18"/>
          <w:szCs w:val="18"/>
        </w:rPr>
        <w:t>’</w:t>
      </w:r>
      <w:r>
        <w:rPr>
          <w:rFonts w:hint="eastAsia"/>
          <w:bCs/>
          <w:sz w:val="18"/>
          <w:szCs w:val="18"/>
        </w:rPr>
        <w:t>s proposed that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coal seam bolt performance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bolt preload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mesh strength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quick installation process and immediate support are the key for three soft coal roadway supporting</w:t>
      </w:r>
      <w:r>
        <w:rPr>
          <w:rFonts w:hint="eastAsia"/>
          <w:bCs/>
          <w:sz w:val="18"/>
          <w:szCs w:val="18"/>
          <w:lang w:val="en-US" w:eastAsia="zh-CN"/>
        </w:rPr>
        <w:t>.</w:t>
      </w:r>
      <w:r>
        <w:rPr>
          <w:rFonts w:hint="eastAsia"/>
          <w:bCs/>
          <w:sz w:val="18"/>
          <w:szCs w:val="18"/>
        </w:rPr>
        <w:t xml:space="preserve"> On this basis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the thick coal seam bolt</w:t>
      </w:r>
      <w:r>
        <w:rPr>
          <w:rFonts w:hint="eastAsia"/>
          <w:bCs/>
          <w:sz w:val="18"/>
          <w:szCs w:val="18"/>
          <w:lang w:val="en-US" w:eastAsia="zh-CN"/>
        </w:rPr>
        <w:t>-</w:t>
      </w:r>
      <w:r>
        <w:rPr>
          <w:rFonts w:hint="eastAsia"/>
          <w:bCs/>
          <w:sz w:val="18"/>
          <w:szCs w:val="18"/>
        </w:rPr>
        <w:t>mesh supporting is designed for 22011A coal face transport roadway of Chaohua Coal Mine</w:t>
      </w:r>
      <w:r>
        <w:rPr>
          <w:rFonts w:hint="eastAsia"/>
          <w:bCs/>
          <w:sz w:val="18"/>
          <w:szCs w:val="18"/>
          <w:lang w:val="en-US" w:eastAsia="zh-CN"/>
        </w:rPr>
        <w:t>.</w:t>
      </w:r>
      <w:r>
        <w:rPr>
          <w:rFonts w:hint="eastAsia"/>
          <w:bCs/>
          <w:sz w:val="18"/>
          <w:szCs w:val="18"/>
        </w:rPr>
        <w:t xml:space="preserve"> The result shows that maximum roof separation at shallow and deep basis points are 48</w:t>
      </w:r>
      <w:r>
        <w:rPr>
          <w:rFonts w:hint="eastAsia"/>
          <w:bCs/>
          <w:sz w:val="18"/>
          <w:szCs w:val="18"/>
          <w:lang w:val="en-US" w:eastAsia="zh-CN"/>
        </w:rPr>
        <w:t xml:space="preserve"> </w:t>
      </w:r>
      <w:r>
        <w:rPr>
          <w:rFonts w:hint="eastAsia"/>
          <w:bCs/>
          <w:sz w:val="18"/>
          <w:szCs w:val="18"/>
        </w:rPr>
        <w:t>mm and 52</w:t>
      </w:r>
      <w:r>
        <w:rPr>
          <w:rFonts w:hint="eastAsia"/>
          <w:bCs/>
          <w:sz w:val="18"/>
          <w:szCs w:val="18"/>
          <w:lang w:val="en-US" w:eastAsia="zh-CN"/>
        </w:rPr>
        <w:t xml:space="preserve"> </w:t>
      </w:r>
      <w:r>
        <w:rPr>
          <w:rFonts w:hint="eastAsia"/>
          <w:bCs/>
          <w:sz w:val="18"/>
          <w:szCs w:val="18"/>
        </w:rPr>
        <w:t>mm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the maximum roof</w:t>
      </w:r>
      <w:r>
        <w:rPr>
          <w:rFonts w:hint="eastAsia"/>
          <w:bCs/>
          <w:sz w:val="18"/>
          <w:szCs w:val="18"/>
          <w:lang w:val="en-US" w:eastAsia="zh-CN"/>
        </w:rPr>
        <w:t>-</w:t>
      </w:r>
      <w:r>
        <w:rPr>
          <w:rFonts w:hint="eastAsia"/>
          <w:bCs/>
          <w:sz w:val="18"/>
          <w:szCs w:val="18"/>
        </w:rPr>
        <w:t>to</w:t>
      </w:r>
      <w:r>
        <w:rPr>
          <w:rFonts w:hint="eastAsia"/>
          <w:bCs/>
          <w:sz w:val="18"/>
          <w:szCs w:val="18"/>
          <w:lang w:val="en-US" w:eastAsia="zh-CN"/>
        </w:rPr>
        <w:t>-</w:t>
      </w:r>
      <w:r>
        <w:rPr>
          <w:rFonts w:hint="eastAsia"/>
          <w:bCs/>
          <w:sz w:val="18"/>
          <w:szCs w:val="18"/>
        </w:rPr>
        <w:t>floor and side</w:t>
      </w:r>
      <w:r>
        <w:rPr>
          <w:rFonts w:hint="eastAsia"/>
          <w:bCs/>
          <w:sz w:val="18"/>
          <w:szCs w:val="18"/>
          <w:lang w:val="en-US" w:eastAsia="zh-CN"/>
        </w:rPr>
        <w:t>-</w:t>
      </w:r>
      <w:r>
        <w:rPr>
          <w:rFonts w:hint="eastAsia"/>
          <w:bCs/>
          <w:sz w:val="18"/>
          <w:szCs w:val="18"/>
        </w:rPr>
        <w:t>to</w:t>
      </w:r>
      <w:r>
        <w:rPr>
          <w:rFonts w:hint="eastAsia"/>
          <w:bCs/>
          <w:sz w:val="18"/>
          <w:szCs w:val="18"/>
          <w:lang w:val="en-US" w:eastAsia="zh-CN"/>
        </w:rPr>
        <w:t>-</w:t>
      </w:r>
      <w:r>
        <w:rPr>
          <w:rFonts w:hint="eastAsia"/>
          <w:bCs/>
          <w:sz w:val="18"/>
          <w:szCs w:val="18"/>
        </w:rPr>
        <w:t>side convergence are 372</w:t>
      </w:r>
      <w:r>
        <w:rPr>
          <w:rFonts w:hint="eastAsia"/>
          <w:bCs/>
          <w:sz w:val="18"/>
          <w:szCs w:val="18"/>
          <w:lang w:val="en-US" w:eastAsia="zh-CN"/>
        </w:rPr>
        <w:t xml:space="preserve"> </w:t>
      </w:r>
      <w:r>
        <w:rPr>
          <w:rFonts w:hint="eastAsia"/>
          <w:bCs/>
          <w:sz w:val="18"/>
          <w:szCs w:val="18"/>
        </w:rPr>
        <w:t>mm and 310mm</w:t>
      </w:r>
      <w:r>
        <w:rPr>
          <w:rFonts w:hint="eastAsia"/>
          <w:bCs/>
          <w:sz w:val="18"/>
          <w:szCs w:val="18"/>
          <w:lang w:val="en-US" w:eastAsia="zh-CN"/>
        </w:rPr>
        <w:t xml:space="preserve">, </w:t>
      </w:r>
      <w:r>
        <w:rPr>
          <w:rFonts w:hint="eastAsia"/>
          <w:bCs/>
          <w:sz w:val="18"/>
          <w:szCs w:val="18"/>
        </w:rPr>
        <w:t>the supporting section of roadway is maintained．</w:t>
      </w:r>
    </w:p>
    <w:p>
      <w:pPr>
        <w:adjustRightInd w:val="0"/>
        <w:snapToGrid w:val="0"/>
        <w:spacing w:line="320" w:lineRule="atLeast"/>
        <w:ind w:right="420" w:rightChars="200"/>
        <w:rPr>
          <w:rFonts w:hAnsi="宋体"/>
          <w:color w:val="000000"/>
        </w:rPr>
      </w:pPr>
      <w:r>
        <w:rPr>
          <w:b/>
          <w:bCs/>
          <w:sz w:val="18"/>
          <w:szCs w:val="18"/>
        </w:rPr>
        <w:t>Key Words</w:t>
      </w:r>
      <w:r>
        <w:rPr>
          <w:rFonts w:hint="eastAsia"/>
          <w:b/>
          <w:bCs/>
          <w:sz w:val="18"/>
          <w:szCs w:val="18"/>
        </w:rPr>
        <w:t>：</w:t>
      </w:r>
      <w:bookmarkEnd w:id="0"/>
      <w:bookmarkEnd w:id="1"/>
      <w:r>
        <w:rPr>
          <w:rFonts w:hint="eastAsia"/>
          <w:color w:val="000000"/>
          <w:sz w:val="18"/>
          <w:szCs w:val="18"/>
        </w:rPr>
        <w:t>three soft coal seam; bolt-mesh supporting; instability mechanism; resin bolting</w:t>
      </w:r>
      <w:commentRangeEnd w:id="12"/>
      <w:r>
        <w:rPr>
          <w:rStyle w:val="30"/>
        </w:rPr>
        <w:commentReference w:id="12"/>
      </w:r>
    </w:p>
    <w:p>
      <w:pPr>
        <w:spacing w:line="320" w:lineRule="atLeast"/>
        <w:rPr>
          <w:rFonts w:hAnsi="宋体"/>
          <w:color w:val="000000"/>
        </w:rPr>
        <w:sectPr>
          <w:headerReference r:id="rId6" w:type="first"/>
          <w:headerReference r:id="rId5" w:type="default"/>
          <w:type w:val="continuous"/>
          <w:pgSz w:w="11906" w:h="16838"/>
          <w:pgMar w:top="1701" w:right="1134" w:bottom="1134" w:left="1134" w:header="1134" w:footer="0" w:gutter="0"/>
          <w:pgNumType w:start="1"/>
          <w:cols w:space="425" w:num="1"/>
          <w:docGrid w:linePitch="312" w:charSpace="66651"/>
        </w:sectPr>
      </w:pPr>
    </w:p>
    <w:p>
      <w:pPr>
        <w:spacing w:line="32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30"/>
        </w:rPr>
        <w:commentReference w:id="13"/>
      </w:r>
    </w:p>
    <w:p>
      <w:pPr>
        <w:spacing w:line="360" w:lineRule="exact"/>
        <w:ind w:firstLine="420" w:firstLineChars="200"/>
        <w:rPr>
          <w:rFonts w:cs="宋体"/>
          <w:color w:val="000000"/>
        </w:rPr>
      </w:pPr>
      <w:commentRangeStart w:id="14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目前郑州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开采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主要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集中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新郑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煤田、新密煤田和登封煤田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，开采煤层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  <w:commentRangeEnd w:id="14"/>
      <w:r>
        <w:rPr>
          <w:rStyle w:val="30"/>
        </w:rPr>
        <w:commentReference w:id="14"/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</w:t>
      </w:r>
      <w:r>
        <w:rPr>
          <w:rFonts w:hint="eastAsia" w:cs="宋体"/>
          <w:color w:val="000000"/>
        </w:rPr>
        <w:t>煤体硬度系数处于</w:t>
      </w:r>
      <w:r>
        <w:rPr>
          <w:rFonts w:cs="宋体"/>
          <w:color w:val="000000"/>
        </w:rPr>
        <w:t>0.08～0.3之间，</w:t>
      </w:r>
      <w:r>
        <w:rPr>
          <w:rFonts w:hint="eastAsia" w:cs="宋体"/>
          <w:color w:val="000000"/>
        </w:rPr>
        <w:t>煤层</w:t>
      </w:r>
      <w:r>
        <w:rPr>
          <w:rFonts w:cs="宋体"/>
          <w:color w:val="000000"/>
        </w:rPr>
        <w:t>起伏大，</w:t>
      </w:r>
      <w:r>
        <w:rPr>
          <w:rFonts w:hint="eastAsia" w:cs="宋体"/>
          <w:color w:val="000000"/>
        </w:rPr>
        <w:t>煤层</w:t>
      </w:r>
      <w:r>
        <w:rPr>
          <w:rFonts w:cs="宋体"/>
          <w:color w:val="000000"/>
        </w:rPr>
        <w:t>厚度</w:t>
      </w:r>
      <w:r>
        <w:rPr>
          <w:rFonts w:hint="eastAsia" w:cs="宋体"/>
          <w:color w:val="000000"/>
        </w:rPr>
        <w:t>变化为</w:t>
      </w:r>
      <w:r>
        <w:rPr>
          <w:color w:val="000000"/>
        </w:rPr>
        <w:t>0~37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color w:val="000000"/>
        </w:rPr>
        <w:t>m</w:t>
      </w:r>
      <w:r>
        <w:rPr>
          <w:rFonts w:hint="eastAsia" w:cs="宋体"/>
          <w:color w:val="000000"/>
        </w:rPr>
        <w:t>，煤层顶底板多为强度较低的泥岩类</w:t>
      </w:r>
      <w:r>
        <w:rPr>
          <w:rFonts w:cs="宋体"/>
          <w:color w:val="000000"/>
        </w:rPr>
        <w:t>软岩</w:t>
      </w:r>
      <w:r>
        <w:rPr>
          <w:rFonts w:hint="eastAsia" w:cs="宋体"/>
          <w:color w:val="000000"/>
        </w:rPr>
        <w:t>，属典型的</w:t>
      </w:r>
      <w:r>
        <w:rPr>
          <w:color w:val="000000"/>
        </w:rPr>
        <w:t>“</w:t>
      </w:r>
      <w:r>
        <w:rPr>
          <w:rFonts w:hint="eastAsia" w:cs="宋体"/>
          <w:color w:val="000000"/>
        </w:rPr>
        <w:t>三软</w:t>
      </w:r>
      <w:r>
        <w:rPr>
          <w:color w:val="000000"/>
        </w:rPr>
        <w:t>”</w:t>
      </w:r>
      <w:r>
        <w:rPr>
          <w:rFonts w:hint="eastAsia" w:cs="宋体"/>
          <w:color w:val="000000"/>
        </w:rPr>
        <w:t>不稳定煤层</w:t>
      </w:r>
      <w:commentRangeStart w:id="15"/>
      <w:r>
        <w:rPr>
          <w:color w:val="000000"/>
          <w:vertAlign w:val="superscript"/>
        </w:rPr>
        <w:t>[1,2]</w:t>
      </w:r>
      <w:commentRangeEnd w:id="15"/>
      <w:r>
        <w:rPr>
          <w:rStyle w:val="30"/>
        </w:rPr>
        <w:commentReference w:id="15"/>
      </w:r>
      <w:r>
        <w:rPr>
          <w:rFonts w:hint="eastAsia" w:cs="宋体"/>
          <w:color w:val="000000"/>
        </w:rPr>
        <w:t>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/>
        </w:rPr>
        <w:t>以往郑州矿区煤巷支护采用2</w:t>
      </w:r>
      <w:r>
        <w:rPr>
          <w:rFonts w:cs="宋体"/>
          <w:color w:val="000000"/>
        </w:rPr>
        <w:t>9U</w:t>
      </w:r>
      <w:r>
        <w:rPr>
          <w:rFonts w:hint="eastAsia" w:cs="宋体"/>
          <w:color w:val="000000"/>
        </w:rPr>
        <w:t>和</w:t>
      </w:r>
      <w:r>
        <w:rPr>
          <w:color w:val="000000"/>
        </w:rPr>
        <w:t>36U</w:t>
      </w:r>
      <w:r>
        <w:rPr>
          <w:rFonts w:hint="eastAsia" w:cs="宋体"/>
          <w:color w:val="000000"/>
        </w:rPr>
        <w:t>型钢支护，并使用矿用工字钢沿巷道走向进行连锁以提高支护的整体性，但</w:t>
      </w:r>
      <w:r>
        <w:rPr>
          <w:rFonts w:cs="宋体"/>
          <w:color w:val="000000"/>
        </w:rPr>
        <w:t>在构造和</w:t>
      </w:r>
      <w:r>
        <w:rPr>
          <w:rFonts w:hint="eastAsia" w:cs="宋体"/>
          <w:color w:val="000000"/>
        </w:rPr>
        <w:t>采动</w:t>
      </w:r>
      <w:r>
        <w:rPr>
          <w:rFonts w:cs="宋体"/>
          <w:color w:val="000000"/>
        </w:rPr>
        <w:t>应力叠加作用下，</w:t>
      </w:r>
      <w:r>
        <w:rPr>
          <w:rFonts w:hint="eastAsia" w:cs="宋体"/>
          <w:color w:val="000000"/>
        </w:rPr>
        <w:t>传统的型钢</w:t>
      </w:r>
      <w:r>
        <w:rPr>
          <w:rFonts w:cs="宋体"/>
          <w:color w:val="000000"/>
        </w:rPr>
        <w:t>支护难以有效控制</w:t>
      </w:r>
      <w:r>
        <w:rPr>
          <w:rFonts w:hint="eastAsia" w:cs="宋体"/>
          <w:color w:val="000000"/>
        </w:rPr>
        <w:t>回采</w:t>
      </w:r>
      <w:r>
        <w:rPr>
          <w:rFonts w:cs="宋体"/>
          <w:color w:val="000000"/>
        </w:rPr>
        <w:t>巷道的强烈变形，</w:t>
      </w:r>
      <w:r>
        <w:rPr>
          <w:rFonts w:hint="eastAsia" w:cs="宋体"/>
          <w:color w:val="000000"/>
        </w:rPr>
        <w:t>巷道需要</w:t>
      </w:r>
      <w:r>
        <w:rPr>
          <w:rFonts w:cs="宋体"/>
          <w:color w:val="000000"/>
        </w:rPr>
        <w:t>反复扩修</w:t>
      </w:r>
      <w:r>
        <w:rPr>
          <w:rFonts w:hint="eastAsia" w:cs="宋体"/>
          <w:color w:val="000000"/>
        </w:rPr>
        <w:t>，</w:t>
      </w:r>
      <w:r>
        <w:rPr>
          <w:rFonts w:cs="宋体"/>
          <w:color w:val="000000"/>
        </w:rPr>
        <w:t>才能</w:t>
      </w:r>
      <w:r>
        <w:rPr>
          <w:rFonts w:hint="eastAsia" w:cs="宋体"/>
          <w:color w:val="000000"/>
        </w:rPr>
        <w:t>满足使用</w:t>
      </w:r>
      <w:r>
        <w:rPr>
          <w:rFonts w:cs="宋体"/>
          <w:color w:val="000000"/>
        </w:rPr>
        <w:t>要求</w:t>
      </w:r>
      <w:r>
        <w:rPr>
          <w:rFonts w:hint="eastAsia" w:cs="宋体"/>
          <w:color w:val="000000"/>
        </w:rPr>
        <w:t>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矿井普遍面临型钢投入量大、复用率低和工作面端头替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扩修制约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矿井高产高效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等技术问题，因此亟需探索一条能够有效解决“三软”不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稳定煤层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煤巷围岩控制难题的途径。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国内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学者针对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“三软”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支护问题开展了研究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工作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康红普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[3]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研究了煤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巷锚网支护成套技术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；张农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[4]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提出煤巷高强预应力锚杆支护技术；尹光志等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[5]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探讨了软岩巷道的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最佳支护时间；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升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国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[6]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阐述了滑动构造区煤巷的变形破坏机制；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郭涛等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[7]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研究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平均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厚度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.88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“三软”煤层锚网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支护技术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；付建华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[8]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研究了“三软”煤层窄煤柱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沿空掘巷锚网支护技术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；周炜光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[9]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研究了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富水条件下三软煤层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锚网参数；孙志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海等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[10]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研究了赵家寨“三软”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煤层沿空掘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；李琰庆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[11]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通过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研究</w:t>
      </w:r>
      <w:r>
        <w:rPr>
          <w:rFonts w:ascii="微软雅黑" w:hAnsi="微软雅黑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淮南矿区</w:t>
      </w:r>
      <w:r>
        <w:rPr>
          <w:rFonts w:hint="eastAsia" w:ascii="微软雅黑" w:hAnsi="微软雅黑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煤</w:t>
      </w:r>
      <w:r>
        <w:rPr>
          <w:rFonts w:ascii="微软雅黑" w:hAnsi="微软雅黑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巷支护难题，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提出强化表面支护协调变形、补强短板形成支护整体的煤巷支护方法，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取得了大量的研究成果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。国内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许多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矿区已经广泛普及煤巷锚网支护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，但郑州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特厚煤层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托顶煤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煤巷锚网支护技术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难题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始终没有得到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彻底解决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限制了该技术在郑州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推广应用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，导致矿区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一直沿用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U型钢和工字钢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commentRangeStart w:id="16"/>
      <w:r>
        <w:rPr>
          <w:rFonts w:eastAsia="黑体"/>
          <w:b/>
          <w:bCs/>
          <w:color w:val="000000"/>
          <w:sz w:val="28"/>
          <w:szCs w:val="28"/>
        </w:rPr>
        <w:t>1</w:t>
      </w:r>
      <w:r>
        <w:rPr>
          <w:rFonts w:hint="eastAsia" w:eastAsia="黑体"/>
          <w:b/>
          <w:bCs/>
          <w:color w:val="000000"/>
          <w:sz w:val="28"/>
          <w:szCs w:val="28"/>
        </w:rPr>
        <w:t>三软煤层赋存</w:t>
      </w:r>
      <w:r>
        <w:rPr>
          <w:rFonts w:eastAsia="黑体"/>
          <w:b/>
          <w:bCs/>
          <w:color w:val="000000"/>
          <w:sz w:val="28"/>
          <w:szCs w:val="28"/>
        </w:rPr>
        <w:t>特征</w:t>
      </w:r>
      <w:r>
        <w:rPr>
          <w:rFonts w:hint="eastAsia" w:eastAsia="黑体"/>
          <w:b/>
          <w:bCs/>
          <w:color w:val="000000"/>
          <w:sz w:val="28"/>
          <w:szCs w:val="28"/>
        </w:rPr>
        <w:t>及成因</w:t>
      </w:r>
      <w:r>
        <w:rPr>
          <w:rFonts w:eastAsia="黑体"/>
          <w:b/>
          <w:bCs/>
          <w:color w:val="000000"/>
          <w:sz w:val="28"/>
          <w:szCs w:val="28"/>
        </w:rPr>
        <w:t>分析</w:t>
      </w:r>
      <w:commentRangeEnd w:id="16"/>
      <w:r>
        <w:rPr>
          <w:rStyle w:val="30"/>
          <w:sz w:val="28"/>
          <w:szCs w:val="28"/>
        </w:rPr>
        <w:commentReference w:id="16"/>
      </w:r>
    </w:p>
    <w:p>
      <w:pPr>
        <w:spacing w:after="156" w:afterLines="50"/>
        <w:rPr>
          <w:rFonts w:ascii="宋体" w:hAnsi="宋体"/>
          <w:b/>
          <w:sz w:val="24"/>
          <w:szCs w:val="24"/>
        </w:rPr>
      </w:pPr>
      <w:commentRangeStart w:id="17"/>
      <w:r>
        <w:rPr>
          <w:rFonts w:ascii="宋体" w:hAnsi="宋体"/>
          <w:b/>
          <w:sz w:val="24"/>
          <w:szCs w:val="24"/>
        </w:rPr>
        <w:t>1.1</w:t>
      </w:r>
      <w:r>
        <w:rPr>
          <w:rFonts w:ascii="宋体" w:hAnsi="宋体"/>
          <w:b/>
          <w:color w:val="000000"/>
          <w:sz w:val="24"/>
          <w:szCs w:val="24"/>
        </w:rPr>
        <w:t>煤层赋存特征</w:t>
      </w:r>
      <w:commentRangeEnd w:id="17"/>
      <w:r>
        <w:rPr>
          <w:rStyle w:val="30"/>
          <w:rFonts w:ascii="宋体" w:hAnsi="宋体"/>
          <w:b/>
          <w:sz w:val="24"/>
          <w:szCs w:val="24"/>
        </w:rPr>
        <w:commentReference w:id="17"/>
      </w:r>
    </w:p>
    <w:p>
      <w:pPr>
        <w:spacing w:line="360" w:lineRule="exact"/>
        <w:rPr>
          <w:color w:val="000000"/>
        </w:rPr>
      </w:pPr>
      <w:commentRangeStart w:id="18"/>
      <w:r>
        <w:rPr>
          <w:rFonts w:hint="eastAsia"/>
          <w:color w:val="000000"/>
        </w:rPr>
        <w:t>1</w:t>
      </w:r>
      <w:r>
        <w:rPr>
          <w:color w:val="000000"/>
        </w:rPr>
        <w:t xml:space="preserve">.1.1 </w:t>
      </w:r>
      <w:r>
        <w:rPr>
          <w:rFonts w:hint="eastAsia"/>
          <w:color w:val="000000"/>
        </w:rPr>
        <w:t>“三软”煤层</w:t>
      </w:r>
      <w:commentRangeEnd w:id="18"/>
      <w:r>
        <w:rPr>
          <w:rStyle w:val="30"/>
        </w:rPr>
        <w:commentReference w:id="18"/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commentRangeStart w:id="19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矿区主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粉末状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层理十分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紊乱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的原生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块状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结构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被完全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破坏，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说明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层曾经受到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过强烈的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挤压和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搓揉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作用，导致与正常原始煤层相比，矿区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煤的光泽变暗，硬度变小。</w:t>
      </w:r>
      <w:commentRangeEnd w:id="19"/>
      <w:r>
        <w:rPr>
          <w:rStyle w:val="30"/>
        </w:rPr>
        <w:commentReference w:id="19"/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层伪顶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为炭质泥岩，直接顶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为砂质泥岩，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巷道顶板极不稳定，巷道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开完出来之后，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如不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及时支护，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顶板会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自然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跨落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自稳时间非常短。二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层底板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主要为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岩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砂质泥岩，该类软岩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遇水泥化膨胀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容易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造成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底鼓。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color w:val="000000"/>
        </w:rPr>
        <w:t xml:space="preserve">.1.2 </w:t>
      </w:r>
      <w:r>
        <w:rPr>
          <w:rFonts w:hint="eastAsia"/>
          <w:color w:val="000000"/>
        </w:rPr>
        <w:t>煤厚变化</w:t>
      </w:r>
      <w:r>
        <w:rPr>
          <w:color w:val="000000"/>
        </w:rPr>
        <w:t>大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生产矿井中煤层顶底板呈现单一隆凹、分别隆凹或同时隆凹等几种变形现象，局部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区域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时有时无，呈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鸡窝状。薄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与厚煤区接触带以突变为主，即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薄则不可采的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无煤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区突变为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达平均煤厚的3倍以上的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厚煤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区（1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m以上）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无煤带边缘极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规则，呈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港湾状。</w:t>
      </w:r>
    </w:p>
    <w:p>
      <w:pPr>
        <w:spacing w:after="156" w:afterLines="5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2</w:t>
      </w:r>
      <w:r>
        <w:rPr>
          <w:rFonts w:hint="eastAsia" w:ascii="宋体" w:hAnsi="宋体"/>
          <w:b/>
          <w:sz w:val="24"/>
          <w:szCs w:val="24"/>
        </w:rPr>
        <w:t>成因</w:t>
      </w:r>
      <w:r>
        <w:rPr>
          <w:rFonts w:ascii="宋体" w:hAnsi="宋体"/>
          <w:b/>
          <w:sz w:val="24"/>
          <w:szCs w:val="24"/>
        </w:rPr>
        <w:t>分析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所采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煤层隶属于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豫西煤层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豫西地处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华北盆地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南边缘，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经历了印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支、燕山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、喜马拉雅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一系列构造运动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，构造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形成过程中地层表面受到剪切平移运动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地壳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深处产生多个滑动面。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在众多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地层中二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具有一定厚度，相对松软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光滑，是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最容易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发生滑动的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层位，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因此成为滑动构造形成的首选层位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[12]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次大型构造运动均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沿二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层相对滑动，致使地层强烈变形产生断层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和褶曲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等地质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构造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过程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煤层发生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强烈的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塑性流动变形，将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原生块状煤层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破坏成鳞片状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、碎粒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和糜棱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状的构造软煤，煤层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厚度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发生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巨大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变化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。同时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滑动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构造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运动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造成煤层顶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底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也受到强烈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破坏，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巷道顶底板不仅强度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而且破裂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、不完整，给矿井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支护带来了极大的困难。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r>
        <w:rPr>
          <w:rFonts w:eastAsia="黑体"/>
          <w:b/>
          <w:bCs/>
          <w:color w:val="000000"/>
          <w:sz w:val="28"/>
          <w:szCs w:val="28"/>
        </w:rPr>
        <w:t xml:space="preserve">2 </w:t>
      </w:r>
      <w:r>
        <w:rPr>
          <w:rFonts w:hint="eastAsia" w:eastAsia="黑体"/>
          <w:b/>
          <w:bCs/>
          <w:color w:val="000000"/>
          <w:sz w:val="28"/>
          <w:szCs w:val="28"/>
        </w:rPr>
        <w:t>三软煤巷支护对策研究</w:t>
      </w:r>
    </w:p>
    <w:p>
      <w:pPr>
        <w:spacing w:after="156" w:afterLines="5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2.1 失稳因素分析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2</w:t>
      </w:r>
      <w:r>
        <w:rPr>
          <w:color w:val="000000"/>
        </w:rPr>
        <w:t xml:space="preserve">.1.1 </w:t>
      </w:r>
      <w:r>
        <w:rPr>
          <w:rFonts w:hint="eastAsia"/>
          <w:color w:val="000000"/>
        </w:rPr>
        <w:t>地质因素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煤层是郑州矿区历次重力滑动构造运动的主要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滑动面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。滑动构造区煤层内部滑面丛生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，煤体粘聚力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低，具有低强度、大变形的力学特性，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造成松散破碎的煤体具有极强的流变特性。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煤层直接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顶底板为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泥岩、砂质泥岩，泥岩类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顶底板自承载能力差，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又难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与支护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材料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组合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形成一个稳定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高强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的共同承载结构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。同时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郑州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煤层的直接顶和基本顶是强度很高的砂岩，在工作面采动应力的传导过程中，积聚在顶板坚硬岩层内的能量，随着基本顶的断裂而急剧释放，诱导二</w:t>
      </w:r>
      <w:r>
        <w:rPr>
          <w:rFonts w:hint="eastAsia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煤层流变。矿区煤层地系综合柱状</w:t>
      </w:r>
      <w:commentRangeStart w:id="2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所示</w:t>
      </w:r>
      <w:commentRangeEnd w:id="20"/>
      <w:r>
        <w:rPr>
          <w:rStyle w:val="30"/>
        </w:rPr>
        <w:commentReference w:id="20"/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jc w:val="center"/>
      </w:pPr>
      <w:r>
        <w:drawing>
          <wp:inline distT="0" distB="0" distL="0" distR="0">
            <wp:extent cx="3517900" cy="2200910"/>
            <wp:effectExtent l="0" t="0" r="6350" b="8890"/>
            <wp:docPr id="12" name="图片 12" descr="表格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表格&#10;&#10;低可信度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31637" cy="2209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commentRangeStart w:id="21"/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图1 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矿区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地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情况</w:t>
      </w:r>
      <w:commentRangeEnd w:id="21"/>
      <w:r>
        <w:rPr>
          <w:rStyle w:val="30"/>
          <w:sz w:val="18"/>
          <w:szCs w:val="18"/>
        </w:rPr>
        <w:commentReference w:id="21"/>
      </w:r>
    </w:p>
    <w:p>
      <w:pPr>
        <w:jc w:val="center"/>
        <w:rPr>
          <w:color w:val="FF0000"/>
          <w:sz w:val="18"/>
          <w:szCs w:val="18"/>
        </w:rPr>
      </w:pPr>
      <w:commentRangeStart w:id="22"/>
      <w:r>
        <w:rPr>
          <w:color w:val="FF0000"/>
          <w:sz w:val="18"/>
          <w:szCs w:val="18"/>
        </w:rPr>
        <w:t>Fig</w:t>
      </w:r>
      <w:r>
        <w:rPr>
          <w:rFonts w:hint="eastAsia"/>
          <w:color w:val="FF0000"/>
          <w:sz w:val="18"/>
          <w:szCs w:val="18"/>
        </w:rPr>
        <w:t>.</w:t>
      </w:r>
      <w:r>
        <w:rPr>
          <w:color w:val="FF0000"/>
          <w:sz w:val="18"/>
          <w:szCs w:val="18"/>
        </w:rPr>
        <w:t xml:space="preserve">1 </w:t>
      </w:r>
      <w:r>
        <w:rPr>
          <w:rFonts w:hint="eastAsia"/>
          <w:color w:val="FF0000"/>
          <w:sz w:val="18"/>
          <w:szCs w:val="18"/>
          <w:lang w:val="en-US" w:eastAsia="zh-CN"/>
        </w:rPr>
        <w:t>S</w:t>
      </w:r>
      <w:r>
        <w:rPr>
          <w:rFonts w:hint="eastAsia"/>
          <w:color w:val="FF0000"/>
          <w:sz w:val="18"/>
          <w:szCs w:val="18"/>
        </w:rPr>
        <w:t>ynthesis cylindrical diagram</w:t>
      </w:r>
      <w:r>
        <w:rPr>
          <w:rFonts w:hint="eastAsia"/>
          <w:color w:val="FF0000"/>
          <w:sz w:val="18"/>
          <w:szCs w:val="18"/>
          <w:lang w:val="en-US" w:eastAsia="zh-CN"/>
        </w:rPr>
        <w:t xml:space="preserve"> </w:t>
      </w:r>
      <w:r>
        <w:rPr>
          <w:color w:val="FF0000"/>
          <w:sz w:val="18"/>
          <w:szCs w:val="18"/>
        </w:rPr>
        <w:t xml:space="preserve">of </w:t>
      </w:r>
      <w:r>
        <w:rPr>
          <w:rFonts w:hint="eastAsia"/>
          <w:color w:val="FF0000"/>
          <w:sz w:val="18"/>
          <w:szCs w:val="18"/>
          <w:lang w:val="en-US" w:eastAsia="zh-CN"/>
        </w:rPr>
        <w:t xml:space="preserve">the </w:t>
      </w:r>
      <w:r>
        <w:rPr>
          <w:color w:val="FF0000"/>
          <w:sz w:val="18"/>
          <w:szCs w:val="18"/>
        </w:rPr>
        <w:t xml:space="preserve">coal seam in </w:t>
      </w:r>
      <w:r>
        <w:rPr>
          <w:rFonts w:hint="eastAsia"/>
          <w:color w:val="FF0000"/>
          <w:sz w:val="18"/>
          <w:szCs w:val="18"/>
          <w:lang w:val="en-US" w:eastAsia="zh-CN"/>
        </w:rPr>
        <w:t xml:space="preserve">the </w:t>
      </w:r>
      <w:r>
        <w:rPr>
          <w:color w:val="FF0000"/>
          <w:sz w:val="18"/>
          <w:szCs w:val="18"/>
        </w:rPr>
        <w:t>mining area</w:t>
      </w:r>
      <w:commentRangeEnd w:id="22"/>
      <w:r>
        <w:rPr>
          <w:rStyle w:val="30"/>
        </w:rPr>
        <w:commentReference w:id="22"/>
      </w:r>
    </w:p>
    <w:p>
      <w:pPr>
        <w:spacing w:line="360" w:lineRule="exact"/>
        <w:ind w:firstLine="420" w:firstLineChars="200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/>
        </w:rPr>
        <w:t>煤巷主体工程位于</w:t>
      </w:r>
      <w:r>
        <w:rPr>
          <w:rFonts w:cs="宋体"/>
          <w:color w:val="000000"/>
        </w:rPr>
        <w:t>断层群内，</w:t>
      </w:r>
      <w:r>
        <w:rPr>
          <w:rFonts w:hint="eastAsia" w:cs="宋体"/>
          <w:color w:val="000000"/>
        </w:rPr>
        <w:t>巷道开挖后将</w:t>
      </w:r>
      <w:r>
        <w:rPr>
          <w:rFonts w:cs="宋体"/>
          <w:color w:val="000000"/>
        </w:rPr>
        <w:t>破坏</w:t>
      </w:r>
      <w:r>
        <w:rPr>
          <w:rFonts w:hint="eastAsia" w:cs="宋体"/>
          <w:color w:val="000000"/>
        </w:rPr>
        <w:t>地层</w:t>
      </w:r>
      <w:r>
        <w:rPr>
          <w:rFonts w:cs="宋体"/>
          <w:color w:val="000000"/>
        </w:rPr>
        <w:t>原</w:t>
      </w:r>
      <w:r>
        <w:rPr>
          <w:rFonts w:hint="eastAsia" w:cs="宋体"/>
          <w:color w:val="000000"/>
        </w:rPr>
        <w:t>岩应力平衡状态</w:t>
      </w:r>
      <w:r>
        <w:rPr>
          <w:rFonts w:cs="宋体"/>
          <w:color w:val="000000"/>
        </w:rPr>
        <w:t>，</w:t>
      </w:r>
      <w:r>
        <w:rPr>
          <w:rFonts w:hint="eastAsia" w:cs="宋体"/>
          <w:color w:val="000000"/>
        </w:rPr>
        <w:t>滑动</w:t>
      </w:r>
      <w:r>
        <w:rPr>
          <w:rFonts w:cs="宋体"/>
          <w:color w:val="000000"/>
        </w:rPr>
        <w:t>构造产生的构造应力</w:t>
      </w:r>
      <w:r>
        <w:rPr>
          <w:rFonts w:hint="eastAsia" w:cs="宋体"/>
          <w:color w:val="000000"/>
        </w:rPr>
        <w:t>非常</w:t>
      </w:r>
      <w:r>
        <w:rPr>
          <w:rFonts w:cs="宋体"/>
          <w:color w:val="000000"/>
        </w:rPr>
        <w:t>大，使</w:t>
      </w:r>
      <w:r>
        <w:rPr>
          <w:rFonts w:hint="eastAsia" w:cs="宋体"/>
          <w:color w:val="000000"/>
        </w:rPr>
        <w:t>巷道不仅</w:t>
      </w:r>
      <w:r>
        <w:rPr>
          <w:rFonts w:cs="宋体"/>
          <w:color w:val="000000"/>
        </w:rPr>
        <w:t>承受大埋深的垂直应力</w:t>
      </w:r>
      <w:r>
        <w:rPr>
          <w:rFonts w:hint="eastAsia" w:cs="宋体"/>
          <w:color w:val="000000"/>
        </w:rPr>
        <w:t>作用</w:t>
      </w:r>
      <w:r>
        <w:rPr>
          <w:rFonts w:cs="宋体"/>
          <w:color w:val="000000"/>
        </w:rPr>
        <w:t>，还</w:t>
      </w:r>
      <w:r>
        <w:rPr>
          <w:rFonts w:hint="eastAsia" w:cs="宋体"/>
          <w:color w:val="000000"/>
        </w:rPr>
        <w:t>受到极为</w:t>
      </w:r>
      <w:r>
        <w:rPr>
          <w:rFonts w:cs="宋体"/>
          <w:color w:val="000000"/>
        </w:rPr>
        <w:t>复杂</w:t>
      </w:r>
      <w:r>
        <w:rPr>
          <w:rFonts w:hint="eastAsia" w:cs="宋体"/>
          <w:color w:val="000000"/>
        </w:rPr>
        <w:t>的</w:t>
      </w:r>
      <w:r>
        <w:rPr>
          <w:rFonts w:cs="宋体"/>
          <w:color w:val="000000"/>
        </w:rPr>
        <w:t>构造应力</w:t>
      </w:r>
      <w:r>
        <w:rPr>
          <w:rFonts w:hint="eastAsia" w:cs="宋体"/>
          <w:color w:val="000000"/>
        </w:rPr>
        <w:t>影响</w:t>
      </w:r>
      <w:r>
        <w:rPr>
          <w:rFonts w:cs="宋体"/>
          <w:color w:val="000000"/>
        </w:rPr>
        <w:t>。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2</w:t>
      </w:r>
      <w:r>
        <w:rPr>
          <w:color w:val="000000"/>
        </w:rPr>
        <w:t xml:space="preserve">.1.2 </w:t>
      </w:r>
      <w:r>
        <w:rPr>
          <w:rFonts w:hint="eastAsia"/>
          <w:color w:val="000000"/>
        </w:rPr>
        <w:t>支护因素</w:t>
      </w:r>
    </w:p>
    <w:p>
      <w:pPr>
        <w:spacing w:line="360" w:lineRule="exact"/>
        <w:ind w:firstLine="420" w:firstLineChars="200"/>
        <w:rPr>
          <w:rFonts w:cs="宋体"/>
          <w:color w:val="000000"/>
        </w:rPr>
      </w:pPr>
      <w:r>
        <w:rPr>
          <w:rFonts w:cs="宋体"/>
          <w:color w:val="000000"/>
        </w:rPr>
        <w:t>U</w:t>
      </w:r>
      <w:r>
        <w:rPr>
          <w:rFonts w:hint="eastAsia" w:cs="宋体"/>
          <w:color w:val="000000"/>
        </w:rPr>
        <w:t>型钢属于被动支护，支护初期支架对周围煤体支护阻力较低，甚至为零，无法</w:t>
      </w:r>
      <w:r>
        <w:rPr>
          <w:rFonts w:cs="宋体"/>
          <w:color w:val="000000"/>
        </w:rPr>
        <w:t>给围岩施加初始预应力，</w:t>
      </w:r>
      <w:r>
        <w:rPr>
          <w:rFonts w:hint="eastAsia" w:cs="宋体"/>
          <w:color w:val="000000"/>
        </w:rPr>
        <w:t>致使巷道表面煤体离层、破裂，进而诱导深部煤体变形。支护中后期，随着煤体变形压力的增大，</w:t>
      </w:r>
      <w:r>
        <w:rPr>
          <w:rFonts w:cs="宋体"/>
          <w:color w:val="000000"/>
        </w:rPr>
        <w:t>U</w:t>
      </w:r>
      <w:r>
        <w:rPr>
          <w:rFonts w:hint="eastAsia" w:cs="宋体"/>
          <w:color w:val="000000"/>
        </w:rPr>
        <w:t>型钢支架不断收缩让压，进一步促进煤体向</w:t>
      </w:r>
      <w:r>
        <w:rPr>
          <w:rFonts w:cs="宋体"/>
          <w:color w:val="000000"/>
        </w:rPr>
        <w:t>巷道内</w:t>
      </w:r>
      <w:r>
        <w:rPr>
          <w:rFonts w:hint="eastAsia" w:cs="宋体"/>
          <w:color w:val="000000"/>
        </w:rPr>
        <w:t>挤压流变，造成</w:t>
      </w:r>
      <w:r>
        <w:rPr>
          <w:rFonts w:cs="宋体"/>
          <w:color w:val="000000"/>
        </w:rPr>
        <w:t>巷道顶板离层和</w:t>
      </w:r>
      <w:r>
        <w:rPr>
          <w:rFonts w:hint="eastAsia" w:cs="宋体"/>
          <w:color w:val="000000"/>
        </w:rPr>
        <w:t>表面</w:t>
      </w:r>
      <w:r>
        <w:rPr>
          <w:rFonts w:cs="宋体"/>
          <w:color w:val="000000"/>
        </w:rPr>
        <w:t>位移量</w:t>
      </w:r>
      <w:r>
        <w:rPr>
          <w:rFonts w:hint="eastAsia" w:cs="宋体"/>
          <w:color w:val="000000"/>
        </w:rPr>
        <w:t>增加。</w:t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2.2 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基于组合拱梁的锚杆支护作用分析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color w:val="000000"/>
        </w:rPr>
        <w:t>相较于被动的型钢支护，锚杆（索）可以充分发挥其积极主动的支护作用，可使煤巷层状顶板形成整体性较强的结构，称为组合拱梁结构。为了进一步分析锚杆支护在维护围岩稳定发挥的作用，基于组合拱梁理论，在一定假设基础上建立了锚杆支护作用下的层状顶板力学分析模型</w:t>
      </w:r>
      <w:r>
        <w:rPr>
          <w:color w:val="000000"/>
          <w:vertAlign w:val="superscript"/>
        </w:rPr>
        <w:t>[13]</w:t>
      </w:r>
      <w:r>
        <w:rPr>
          <w:color w:val="000000"/>
        </w:rPr>
        <w:t>，如图2所示。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组合拱梁整体受力分析模型如图2（a）所示，由于模型的对称性，为了简化计算，将对模型左半部分进行受力分析。岩层厚度为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为锚固层上方岩层对锚固层作用力</w:t>
      </w:r>
      <m:oMath>
        <m:sSub>
          <m:sSubP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q</m:t>
            </m: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color w:val="000000" w:themeColor="text1"/>
          <w14:textFill>
            <w14:solidFill>
              <w14:schemeClr w14:val="tx1"/>
            </w14:solidFill>
          </w14:textFill>
        </w:rPr>
        <w:t>以及锚固层中厚度小于150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mm分层自重之和，</w:t>
      </w:r>
      <m:oMath>
        <m:r>
          <m:rPr/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q</m:t>
        </m:r>
        <m:r>
          <m:rPr>
            <m:sty m:val="p"/>
          </m:rPr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=</m:t>
        </m:r>
        <m:sSub>
          <m:sSubP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q</m:t>
            </m: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+(1−</m:t>
        </m:r>
        <m:r>
          <m:rPr/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α</m:t>
        </m:r>
        <m:r>
          <m:rPr>
            <m:sty m:val="p"/>
          </m:rPr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)</m:t>
        </m:r>
        <m:r>
          <m:rPr/>
          <w:rPr>
            <w:rFonts w:ascii="Cambria Math" w:hAnsi="Cambria Math"/>
            <w:color w:val="000000" w:themeColor="text1"/>
            <w14:textFill>
              <w14:solidFill>
                <w14:schemeClr w14:val="tx1"/>
              </w14:solidFill>
            </w14:textFill>
          </w:rPr>
          <m:t>lγ</m:t>
        </m:r>
      </m:oMath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为顶板岩层完整性系数，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分别为锚固层厚度与煤（岩）层容重，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R</w:t>
      </w:r>
      <w:r>
        <w:rPr>
          <w:i/>
          <w:iCs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i/>
          <w:iCs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分别为锚固层两侧岩体对锚固层作用力。</w:t>
      </w:r>
    </w:p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2209800" cy="2670810"/>
            <wp:effectExtent l="0" t="0" r="0" b="0"/>
            <wp:docPr id="14" name="图片 14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示, 工程绘图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rcRect b="6216"/>
                    <a:stretch>
                      <a:fillRect/>
                    </a:stretch>
                  </pic:blipFill>
                  <pic:spPr>
                    <a:xfrm>
                      <a:off x="0" y="0"/>
                      <a:ext cx="2215085" cy="26778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图</w:t>
      </w:r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三软煤巷组合拱梁模型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commentRangeStart w:id="23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通过对第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i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层煤（岩）进行受力分析如图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2(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所示，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hint="eastAsia"/>
          <w:i/>
          <w:iCs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为跨中拱铰处挤压力，可建立力学平衡方程</w:t>
      </w:r>
      <w:r>
        <w:rPr>
          <w:rFonts w:hint="eastAsia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4]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:</w:t>
      </w:r>
      <w:commentRangeEnd w:id="23"/>
      <w:r>
        <w:rPr>
          <w:rStyle w:val="30"/>
        </w:rPr>
        <w:commentReference w:id="23"/>
      </w:r>
    </w:p>
    <w:p>
      <w:pPr>
        <w:jc w:val="right"/>
        <w:rPr>
          <w:color w:val="000000" w:themeColor="text1"/>
          <w14:textFill>
            <w14:solidFill>
              <w14:schemeClr w14:val="tx1"/>
            </w14:solidFill>
          </w14:textFill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eqArrPr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naryPr>
                  <m:sub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  <m:sup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p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X=0→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sSubPr>
                      <m:e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P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e>
                      <m:sub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sub>
                    </m:s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</m:nary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fS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q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i1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P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−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den>
                </m:f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fS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q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i2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=0</m:t>
                </m:r>
                <m:ctrlPr>
                  <w:rPr>
                    <w:rFonts w:ascii="Cambria Math" w:hAnsi="Cambria Math"/>
                    <w:i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e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naryPr>
                  <m:sub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  <m:sup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p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Y=0→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fPr>
                      <m:num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num>
                      <m:den>
                        <m:r>
                          <m:rPr/>
                          <w:rPr>
                            <w:rFonts w:ascii="Cambria Math" w:hAnsi="Cambria Math"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</m:nary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q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i1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den>
                </m:f>
                <m:r>
                  <m:rPr/>
                  <w:rPr>
                    <w:rFonts w:hint="eastAsia"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γt</m:t>
                </m:r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S−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1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den>
                </m:f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SubPr>
                  <m:e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q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m:t>i2</m:t>
                    </m:r>
                    <m:ctrlPr>
                      <w:rPr>
                        <w:rFonts w:ascii="Cambria Math" w:hAnsi="Cambria Math"/>
                        <w:i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m:ctrlPr>
                  </m:sub>
                </m:sSub>
                <m:r>
                  <m:rPr/>
                  <w:rPr>
                    <w:rFonts w:ascii="Cambria Math" w:hAnsi="Cambria Math"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  <m:t>−R=0</m:t>
                </m:r>
                <m:ctrlPr>
                  <w:rPr>
                    <w:rFonts w:ascii="Cambria Math" w:hAnsi="Cambria Math"/>
                    <w:i/>
                    <w:color w:val="000000" w:themeColor="text1"/>
                    <w14:textFill>
                      <w14:solidFill>
                        <w14:schemeClr w14:val="tx1"/>
                      </w14:solidFill>
                    </w14:textFill>
                  </w:rPr>
                </m:ctrlPr>
              </m:e>
            </m:eqArr>
            <m:r>
              <m:rPr/>
              <w:rPr>
                <w:rFonts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 xml:space="preserve">                                              </m:t>
            </m:r>
            <m:ctrlPr>
              <w:rPr>
                <w:rFonts w:ascii="Cambria Math" w:hAnsi="Cambria Math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e>
        </m:d>
      </m:oMath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1)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commentRangeStart w:id="24"/>
      <w:r>
        <w:rPr>
          <w:rFonts w:hint="eastAsia"/>
          <w:color w:val="FF0000"/>
        </w:rPr>
        <w:t>式中，</w:t>
      </w:r>
      <w:commentRangeEnd w:id="24"/>
      <w:r>
        <w:rPr>
          <w:rStyle w:val="30"/>
        </w:rPr>
        <w:commentReference w:id="24"/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分别</w:t>
      </w:r>
      <w:r>
        <w:rPr>
          <w:rFonts w:hint="eastAsia"/>
          <w:color w:val="FF0000"/>
        </w:rPr>
        <w:t>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巷道跨度与岩层间的摩擦系数；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i/>
          <w:iCs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i/>
          <w:iCs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分别</w:t>
      </w:r>
      <w:r>
        <w:rPr>
          <w:rFonts w:hint="eastAsia"/>
          <w:color w:val="FF0000"/>
        </w:rPr>
        <w:t>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第</w:t>
      </w:r>
      <w:r>
        <w:rPr>
          <w:rFonts w:hint="eastAsia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i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层煤岩块体受上下部岩层的垂直载荷</w:t>
      </w:r>
      <w:r>
        <w:rPr>
          <w:rFonts w:hint="eastAsia"/>
          <w:color w:val="FF0000"/>
        </w:rPr>
        <w:t>，</w:t>
      </w:r>
      <w:commentRangeStart w:id="25"/>
      <w:r>
        <w:rPr>
          <w:rFonts w:hint="eastAsia"/>
          <w:color w:val="FF0000"/>
        </w:rPr>
        <w:t>MPa</w:t>
      </w:r>
      <w:commentRangeEnd w:id="25"/>
      <w:r>
        <w:rPr>
          <w:rStyle w:val="30"/>
        </w:rPr>
        <w:commentReference w:id="25"/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exact"/>
        <w:ind w:firstLine="420" w:firstLineChars="200"/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对上式进行求解可得到</w:t>
      </w:r>
      <w:r>
        <w:rPr>
          <w:rFonts w:hint="eastAsia" w:cs="宋体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rFonts w:cs="宋体"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在岩层中的平均应力: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m:oMathPara>
        <m:oMathParaPr>
          <m:jc m:val="right"/>
        </m:oMathParaPr>
        <m:oMath>
          <m:acc>
            <m:accPr>
              <m:chr m:val="̅"/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accPr>
            <m:e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σ</m:t>
              </m: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e>
          </m:acc>
          <m:r>
            <m:rPr/>
            <w:rPr>
              <w:rFonts w:hint="eastAsia" w:ascii="Cambria Math" w:hAnsi="Cambria Math"/>
              <w:color w:val="000000" w:themeColor="text1"/>
              <w:sz w:val="20"/>
              <w:szCs w:val="20"/>
              <w14:textFill>
                <w14:solidFill>
                  <w14:schemeClr w14:val="tx1"/>
                </w14:solidFill>
              </w14:textFill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q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n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+</m:t>
                  </m:r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l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up>
              </m:sSup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+2</m:t>
              </m:r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α</m:t>
              </m:r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fSl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1−</m:t>
                      </m:r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α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</m:d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l−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q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n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−</m:t>
                  </m:r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SubPr>
                    <m:e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α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  <m:sub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z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</m:d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num>
            <m:den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8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α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z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ub>
              </m:sSub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αl</m:t>
              </m:r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t</m:t>
              </m: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den>
          </m:f>
          <m:r>
            <m:rPr/>
            <w:rPr>
              <w:rFonts w:ascii="Cambria Math" w:hAnsi="Cambria Math"/>
              <w:color w:val="000000" w:themeColor="text1"/>
              <w:sz w:val="20"/>
              <w:szCs w:val="20"/>
              <w14:textFill>
                <w14:solidFill>
                  <w14:schemeClr w14:val="tx1"/>
                </w14:solidFill>
              </w14:textFill>
            </w:rPr>
            <m:t xml:space="preserve">                                              (2)</m:t>
          </m:r>
        </m:oMath>
      </m:oMathPara>
    </w:p>
    <w:p>
      <w:pPr>
        <w:spacing w:line="360" w:lineRule="exact"/>
        <w:ind w:firstLine="420" w:firstLineChars="200"/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式中</w:t>
      </w:r>
      <w:r>
        <w:rPr>
          <w:rFonts w:hint="eastAsia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hint="eastAsia" w:ascii="Cambria Math" w:hAnsi="Cambria Math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α</m:t>
            </m:r>
            <m:ctrlPr>
              <w:rPr>
                <w:rFonts w:ascii="Cambria Math" w:hAnsi="Cambria Math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hint="eastAsia" w:ascii="Cambria Math" w:hAnsi="Cambria Math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z</m:t>
            </m:r>
            <m:ctrlPr>
              <w:rPr>
                <w:rFonts w:ascii="Cambria Math" w:hAnsi="Cambria Math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为力臂系数。</w:t>
      </w:r>
    </w:p>
    <w:p>
      <w:pPr>
        <w:spacing w:line="360" w:lineRule="exact"/>
        <w:ind w:firstLine="420" w:firstLineChars="200"/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由式（2）可知，煤（岩）层的平均应力主要与上方岩层载荷、巷道跨度、岩层厚度、锚固层厚度有关。将式（2）进一步变换可得：</w:t>
      </w:r>
    </w:p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m:oMathPara>
        <m:oMathParaPr>
          <m:jc m:val="right"/>
        </m:oMathParaPr>
        <m:oMath>
          <m:acc>
            <m:accPr>
              <m:chr m:val="̅"/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accPr>
            <m:e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σ</m:t>
              </m: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e>
          </m:acc>
          <m:r>
            <m:rPr/>
            <w:rPr>
              <w:rFonts w:hint="eastAsia" w:ascii="Cambria Math" w:hAnsi="Cambria Math"/>
              <w:color w:val="000000" w:themeColor="text1"/>
              <w:sz w:val="20"/>
              <w:szCs w:val="20"/>
              <w14:textFill>
                <w14:solidFill>
                  <w14:schemeClr w14:val="tx1"/>
                </w14:solidFill>
              </w14:textFill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m:ctrlPr>
                        </m:sSubPr>
                        <m:e>
                          <m:r>
                            <m:rPr/>
                            <w:rPr>
                              <w:rFonts w:ascii="Cambria Math" w:hAnsi="Cambria Math"/>
                              <w:color w:val="000000" w:themeColor="text1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m:t>q</m:t>
                          </m: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m:ctrlPr>
                        </m:e>
                        <m:sub>
                          <m:r>
                            <m:rPr/>
                            <w:rPr>
                              <w:rFonts w:ascii="Cambria Math" w:hAnsi="Cambria Math"/>
                              <w:color w:val="000000" w:themeColor="text1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m:t>n</m:t>
                          </m: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0"/>
                              <w:szCs w:val="2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m:ctrlPr>
                        </m:sub>
                      </m:sSub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num>
                    <m:den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l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den>
                  </m:f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+</m:t>
                  </m:r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SupPr>
                <m:e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  <m:sup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2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up>
              </m:sSup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+2</m:t>
              </m:r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α</m:t>
              </m:r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fS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dPr>
                    <m:e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1−</m:t>
                      </m:r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α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</m:d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l−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q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n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−</m:t>
                  </m:r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γ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SubPr>
                    <m:e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α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e>
                    <m:sub>
                      <m:r>
                        <m:rPr/>
                        <w:rPr>
                          <w:rFonts w:hint="eastAsia" w:ascii="Cambria Math" w:hAnsi="Cambria Math"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m:t>z</m:t>
                      </m: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0"/>
                          <w:szCs w:val="20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</m:d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num>
            <m:den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8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α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  <m:t>z</m:t>
                  </m:r>
                  <m:ctrlPr>
                    <w:rPr>
                      <w:rFonts w:ascii="Cambria Math" w:hAnsi="Cambria Math"/>
                      <w:i/>
                      <w:color w:val="000000" w:themeColor="text1"/>
                      <w:sz w:val="20"/>
                      <w:szCs w:val="20"/>
                      <w14:textFill>
                        <w14:solidFill>
                          <w14:schemeClr w14:val="tx1"/>
                        </w14:solidFill>
                      </w14:textFill>
                    </w:rPr>
                  </m:ctrlPr>
                </m:sub>
              </m:sSub>
              <m:r>
                <m:rPr/>
                <w:rPr>
                  <w:rFonts w:hint="eastAsia"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α</m:t>
              </m:r>
              <m:r>
                <m:rPr/>
                <w:rPr>
                  <w:rFonts w:ascii="Cambria Math" w:hAnsi="Cambria Math"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  <m:t>t</m:t>
              </m:r>
              <m:ctrlPr>
                <w:rPr>
                  <w:rFonts w:ascii="Cambria Math" w:hAnsi="Cambria Math"/>
                  <w:i/>
                  <w:color w:val="000000" w:themeColor="text1"/>
                  <w:sz w:val="20"/>
                  <w:szCs w:val="20"/>
                  <w14:textFill>
                    <w14:solidFill>
                      <w14:schemeClr w14:val="tx1"/>
                    </w14:solidFill>
                  </w14:textFill>
                </w:rPr>
              </m:ctrlPr>
            </m:den>
          </m:f>
          <m:r>
            <m:rPr/>
            <w:rPr>
              <w:rFonts w:ascii="Cambria Math" w:hAnsi="Cambria Math"/>
              <w:color w:val="000000" w:themeColor="text1"/>
              <w:sz w:val="20"/>
              <w:szCs w:val="20"/>
              <w14:textFill>
                <w14:solidFill>
                  <w14:schemeClr w14:val="tx1"/>
                </w14:solidFill>
              </w14:textFill>
            </w:rPr>
            <m:t xml:space="preserve">                                                 (3)</m:t>
          </m:r>
        </m:oMath>
      </m:oMathPara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由式（3）可知，在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上方岩层载荷、巷道跨度、煤（岩）层厚度等均为定值时，煤（岩）层的平均应力</w:t>
      </w:r>
      <m:oMath>
        <m:acc>
          <m:accPr>
            <m:chr m:val="̅"/>
            <m:ctrlPr>
              <w:rPr>
                <w:rFonts w:ascii="Cambria Math" w:hAnsi="Cambria Math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accPr>
          <m:e>
            <m:r>
              <m:rPr/>
              <w:rPr>
                <w:rFonts w:hint="eastAsia" w:ascii="Cambria Math" w:hAnsi="Cambria Math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m:t>σ</m:t>
            </m:r>
            <m:ctrlPr>
              <w:rPr>
                <w:rFonts w:ascii="Cambria Math" w:hAnsi="Cambria Math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m:ctrlPr>
          </m:e>
        </m:acc>
      </m:oMath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在一定程度上随着锚固层厚度的增加而降低，可见，锚杆支护可有效降低顶板煤（岩）层载荷。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综上，郑州矿区“三软”煤层煤体流变的关键在于支护必须给予围岩足够的初始阻力，抑制巷道浅部煤体的离层、破裂，控制煤体内流变空间的扩展。因此，以预应力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锚杆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（索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为主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的锚网支护技术符合这一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技术要求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[14-16]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对于降低顶板煤（岩）层载荷，改善围岩应力状态可发挥良好效果。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r>
        <w:rPr>
          <w:rFonts w:eastAsia="黑体"/>
          <w:b/>
          <w:bCs/>
          <w:color w:val="000000"/>
          <w:sz w:val="28"/>
          <w:szCs w:val="28"/>
        </w:rPr>
        <w:t xml:space="preserve">3 </w:t>
      </w:r>
      <w:r>
        <w:rPr>
          <w:rFonts w:hint="eastAsia" w:eastAsia="黑体"/>
          <w:b/>
          <w:bCs/>
          <w:color w:val="000000"/>
          <w:sz w:val="28"/>
          <w:szCs w:val="28"/>
        </w:rPr>
        <w:t>三软煤巷锚网支护关键技术</w:t>
      </w:r>
    </w:p>
    <w:p>
      <w:pPr>
        <w:spacing w:line="360" w:lineRule="exact"/>
        <w:ind w:firstLine="420" w:firstLineChars="200"/>
        <w:rPr>
          <w:szCs w:val="24"/>
        </w:rPr>
      </w:pPr>
      <w:r>
        <w:rPr>
          <w:rFonts w:hint="eastAsia"/>
        </w:rPr>
        <w:t>近年来，郑煤集团深入开展了大量三软煤巷锚网支护的试验研究工作</w:t>
      </w:r>
      <w:r>
        <w:rPr>
          <w:rFonts w:hint="eastAsia"/>
          <w:color w:val="000000"/>
          <w:vertAlign w:val="superscript"/>
        </w:rPr>
        <w:t>[</w:t>
      </w:r>
      <w:r>
        <w:rPr>
          <w:color w:val="000000"/>
          <w:vertAlign w:val="superscript"/>
        </w:rPr>
        <w:t>10-13</w:t>
      </w:r>
      <w:r>
        <w:rPr>
          <w:rFonts w:hint="eastAsia"/>
          <w:color w:val="000000"/>
          <w:vertAlign w:val="superscript"/>
        </w:rPr>
        <w:t>]</w:t>
      </w:r>
      <w:r>
        <w:t>，取得了</w:t>
      </w:r>
      <w:r>
        <w:rPr>
          <w:rFonts w:hint="eastAsia"/>
        </w:rPr>
        <w:t>一些关键技术突破</w:t>
      </w:r>
      <w:r>
        <w:rPr>
          <w:rFonts w:hint="eastAsia"/>
          <w:szCs w:val="24"/>
        </w:rPr>
        <w:t>。</w:t>
      </w:r>
      <w:r>
        <w:rPr>
          <w:rFonts w:hint="eastAsia" w:cs="宋体"/>
          <w:color w:val="000000"/>
        </w:rPr>
        <w:t>结合郑州矿区煤层赋存条件和</w:t>
      </w:r>
      <w:r>
        <w:rPr>
          <w:rFonts w:cs="宋体"/>
          <w:color w:val="000000"/>
        </w:rPr>
        <w:t>现场</w:t>
      </w:r>
      <w:r>
        <w:rPr>
          <w:rFonts w:hint="eastAsia" w:cs="宋体"/>
          <w:color w:val="000000"/>
        </w:rPr>
        <w:t>施工</w:t>
      </w:r>
      <w:r>
        <w:rPr>
          <w:rFonts w:cs="宋体"/>
          <w:color w:val="000000"/>
        </w:rPr>
        <w:t>实践</w:t>
      </w:r>
      <w:r>
        <w:rPr>
          <w:rFonts w:hint="eastAsia" w:cs="宋体"/>
          <w:color w:val="000000"/>
        </w:rPr>
        <w:t>，三软</w:t>
      </w:r>
      <w:r>
        <w:rPr>
          <w:rFonts w:cs="宋体"/>
          <w:color w:val="000000"/>
        </w:rPr>
        <w:t>煤层锚网支护</w:t>
      </w:r>
      <w:r>
        <w:rPr>
          <w:rFonts w:hint="eastAsia" w:cs="宋体"/>
          <w:color w:val="000000"/>
        </w:rPr>
        <w:t>关键</w:t>
      </w:r>
      <w:r>
        <w:rPr>
          <w:rFonts w:cs="宋体"/>
          <w:color w:val="000000"/>
        </w:rPr>
        <w:t>技术</w:t>
      </w:r>
      <w:r>
        <w:rPr>
          <w:rFonts w:hint="eastAsia" w:cs="宋体"/>
          <w:color w:val="000000"/>
        </w:rPr>
        <w:t>归结为支护</w:t>
      </w:r>
      <w:r>
        <w:rPr>
          <w:rFonts w:cs="宋体"/>
          <w:color w:val="000000"/>
        </w:rPr>
        <w:t>技术参数和施工</w:t>
      </w:r>
      <w:r>
        <w:rPr>
          <w:rFonts w:hint="eastAsia" w:cs="宋体"/>
          <w:color w:val="000000"/>
        </w:rPr>
        <w:t>技术</w:t>
      </w:r>
      <w:r>
        <w:rPr>
          <w:rFonts w:cs="宋体"/>
          <w:color w:val="000000"/>
        </w:rPr>
        <w:t>。</w:t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.1支护技术参数</w:t>
      </w:r>
    </w:p>
    <w:p>
      <w:pPr>
        <w:spacing w:line="360" w:lineRule="exact"/>
        <w:ind w:firstLine="420" w:firstLineChars="200"/>
        <w:rPr>
          <w:rFonts w:cs="宋体"/>
          <w:color w:val="000000"/>
        </w:rPr>
      </w:pPr>
      <w:r>
        <w:rPr>
          <w:rFonts w:hint="eastAsia" w:cs="宋体"/>
          <w:color w:val="000000"/>
        </w:rPr>
        <w:t>除钻头直径、树脂药卷直径和锚杆杆体直径保持合理</w:t>
      </w:r>
      <w:r>
        <w:rPr>
          <w:rFonts w:cs="宋体"/>
          <w:color w:val="000000"/>
        </w:rPr>
        <w:t>的</w:t>
      </w:r>
      <w:r>
        <w:rPr>
          <w:rFonts w:hint="eastAsia" w:cs="宋体"/>
          <w:color w:val="000000"/>
        </w:rPr>
        <w:t>“三径”匹配外，三软煤层煤巷锚网支护关键支护</w:t>
      </w:r>
      <w:r>
        <w:rPr>
          <w:rFonts w:cs="宋体"/>
          <w:color w:val="000000"/>
        </w:rPr>
        <w:t>技术参数如下</w:t>
      </w:r>
      <w:r>
        <w:rPr>
          <w:rFonts w:hint="eastAsia" w:cs="宋体"/>
          <w:color w:val="000000"/>
        </w:rPr>
        <w:t>：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3.1.1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煤层</w:t>
      </w:r>
      <w:r>
        <w:rPr>
          <w:color w:val="000000"/>
        </w:rPr>
        <w:t>锚固性能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 w:cs="宋体"/>
          <w:color w:val="000000"/>
        </w:rPr>
        <w:t>锚杆</w:t>
      </w:r>
      <w:r>
        <w:rPr>
          <w:rFonts w:cs="宋体"/>
          <w:color w:val="000000"/>
        </w:rPr>
        <w:t>锚固力是检测锚杆可锚性的</w:t>
      </w:r>
      <w:r>
        <w:rPr>
          <w:rFonts w:hint="eastAsia" w:cs="宋体"/>
          <w:color w:val="000000"/>
        </w:rPr>
        <w:t>重要</w:t>
      </w:r>
      <w:r>
        <w:rPr>
          <w:rFonts w:cs="宋体"/>
          <w:color w:val="000000"/>
        </w:rPr>
        <w:t>手段</w:t>
      </w:r>
      <w:r>
        <w:rPr>
          <w:rFonts w:hint="eastAsia" w:cs="宋体"/>
          <w:color w:val="000000"/>
        </w:rPr>
        <w:t>，</w:t>
      </w:r>
      <w:r>
        <w:rPr>
          <w:rFonts w:cs="宋体"/>
          <w:color w:val="000000"/>
        </w:rPr>
        <w:t>也是</w:t>
      </w:r>
      <w:r>
        <w:rPr>
          <w:rFonts w:hint="eastAsia" w:cs="宋体"/>
          <w:color w:val="000000"/>
        </w:rPr>
        <w:t>检查</w:t>
      </w:r>
      <w:r>
        <w:rPr>
          <w:rFonts w:cs="宋体"/>
          <w:color w:val="000000"/>
        </w:rPr>
        <w:t>锚杆施工质量</w:t>
      </w:r>
      <w:r>
        <w:rPr>
          <w:rFonts w:hint="eastAsia" w:cs="宋体"/>
          <w:color w:val="000000"/>
        </w:rPr>
        <w:t>的关键</w:t>
      </w:r>
      <w:r>
        <w:rPr>
          <w:rFonts w:cs="宋体"/>
          <w:color w:val="000000"/>
        </w:rPr>
        <w:t>参数。</w:t>
      </w:r>
      <w:r>
        <w:rPr>
          <w:rFonts w:hint="eastAsia"/>
          <w:color w:val="000000"/>
        </w:rPr>
        <w:t>以往</w:t>
      </w:r>
      <w:r>
        <w:rPr>
          <w:color w:val="000000"/>
        </w:rPr>
        <w:t>矿井采用右旋锚杆，锚杆的</w:t>
      </w:r>
      <w:r>
        <w:rPr>
          <w:rFonts w:hint="eastAsia"/>
          <w:color w:val="000000"/>
        </w:rPr>
        <w:t>锚固</w:t>
      </w:r>
      <w:r>
        <w:rPr>
          <w:color w:val="000000"/>
        </w:rPr>
        <w:t>力</w:t>
      </w:r>
      <w:r>
        <w:rPr>
          <w:rFonts w:hint="eastAsia"/>
          <w:color w:val="000000"/>
        </w:rPr>
        <w:t>和</w:t>
      </w:r>
      <w:r>
        <w:rPr>
          <w:color w:val="000000"/>
        </w:rPr>
        <w:t>拉拔力均较低，</w:t>
      </w:r>
      <w:r>
        <w:rPr>
          <w:rFonts w:hint="eastAsia"/>
          <w:color w:val="000000"/>
        </w:rPr>
        <w:t>锚固</w:t>
      </w:r>
      <w:r>
        <w:rPr>
          <w:color w:val="000000"/>
        </w:rPr>
        <w:t>效果差</w:t>
      </w:r>
      <w:r>
        <w:rPr>
          <w:rFonts w:hint="eastAsia"/>
          <w:color w:val="000000"/>
        </w:rPr>
        <w:t>。为</w:t>
      </w:r>
      <w:r>
        <w:rPr>
          <w:color w:val="000000"/>
        </w:rPr>
        <w:t>改善这一状况，</w:t>
      </w:r>
      <w:r>
        <w:rPr>
          <w:rFonts w:hint="eastAsia"/>
          <w:color w:val="000000"/>
        </w:rPr>
        <w:t>矿井</w:t>
      </w:r>
      <w:r>
        <w:rPr>
          <w:color w:val="000000"/>
        </w:rPr>
        <w:t>引进</w:t>
      </w:r>
      <w:r>
        <w:rPr>
          <w:rFonts w:hint="eastAsia"/>
          <w:color w:val="000000"/>
        </w:rPr>
        <w:t>左旋无纵筋高强度锚杆，左旋锚杆搅拌过程中杆体螺纹</w:t>
      </w:r>
      <w:r>
        <w:rPr>
          <w:color w:val="000000"/>
        </w:rPr>
        <w:t>将</w:t>
      </w:r>
      <w:r>
        <w:rPr>
          <w:rFonts w:hint="eastAsia"/>
          <w:color w:val="000000"/>
        </w:rPr>
        <w:t>锚固剂推入</w:t>
      </w:r>
      <w:r>
        <w:rPr>
          <w:color w:val="000000"/>
        </w:rPr>
        <w:t>孔底，</w:t>
      </w:r>
      <w:r>
        <w:rPr>
          <w:rFonts w:hint="eastAsia"/>
          <w:color w:val="000000"/>
        </w:rPr>
        <w:t>越搅越密实，提高了</w:t>
      </w:r>
      <w:r>
        <w:rPr>
          <w:color w:val="000000"/>
        </w:rPr>
        <w:t>锚固剂的</w:t>
      </w:r>
      <w:r>
        <w:rPr>
          <w:rFonts w:hint="eastAsia"/>
          <w:color w:val="000000"/>
        </w:rPr>
        <w:t>有效端头锚固长度，</w:t>
      </w:r>
      <w:r>
        <w:rPr>
          <w:color w:val="000000"/>
        </w:rPr>
        <w:t>锚固效果较于右旋锚杆有了</w:t>
      </w:r>
      <w:r>
        <w:rPr>
          <w:rFonts w:hint="eastAsia"/>
          <w:color w:val="000000"/>
        </w:rPr>
        <w:t>较</w:t>
      </w:r>
      <w:r>
        <w:rPr>
          <w:color w:val="000000"/>
        </w:rPr>
        <w:t>大的</w:t>
      </w:r>
      <w:r>
        <w:rPr>
          <w:rFonts w:hint="eastAsia"/>
          <w:color w:val="000000"/>
        </w:rPr>
        <w:t>改善</w:t>
      </w:r>
      <w:r>
        <w:rPr>
          <w:color w:val="000000"/>
        </w:rPr>
        <w:t>，保证了</w:t>
      </w:r>
      <w:r>
        <w:rPr>
          <w:rFonts w:hint="eastAsia"/>
          <w:color w:val="000000"/>
        </w:rPr>
        <w:t>锚网支护</w:t>
      </w:r>
      <w:r>
        <w:rPr>
          <w:color w:val="000000"/>
        </w:rPr>
        <w:t>的整体强度。</w:t>
      </w:r>
    </w:p>
    <w:p>
      <w:pPr>
        <w:spacing w:line="360" w:lineRule="exact"/>
        <w:ind w:firstLine="420" w:firstLineChars="200"/>
      </w:pPr>
      <w:r>
        <w:rPr>
          <w:rFonts w:hint="eastAsia"/>
        </w:rPr>
        <w:t>将相关参数代入式（3）组合拱梁煤（岩）层的平均应力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/>
              <w:rPr>
                <w:rFonts w:hint="eastAsia" w:ascii="Cambria Math" w:hAnsi="Cambria Math"/>
              </w:rPr>
              <m:t>σ</m:t>
            </m:r>
            <m:ctrlPr>
              <w:rPr>
                <w:rFonts w:ascii="Cambria Math" w:hAnsi="Cambria Math"/>
                <w:i/>
              </w:rPr>
            </m:ctrlPr>
          </m:e>
        </m:acc>
      </m:oMath>
      <w:r>
        <w:t>可知</w:t>
      </w:r>
      <w:r>
        <w:rPr>
          <w:rFonts w:hint="eastAsia"/>
          <w:vertAlign w:val="superscript"/>
        </w:rPr>
        <w:t>[4]</w:t>
      </w:r>
      <w:r>
        <w:rPr>
          <w:rFonts w:hint="eastAsia"/>
        </w:rPr>
        <w:t>，增大锚杆长度可在一定程度上降低拱梁平均应力，但锚杆长度超过一定长度后作用逐渐降低，且施工难度及支护成本逐渐升高，因此，锚杆长度应接近巷道跨度的1/2最佳。根据郑州矿区巷道实际尺寸，锚杆长度最终确定为2.4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m。</w:t>
      </w:r>
    </w:p>
    <w:p>
      <w:pPr>
        <w:spacing w:line="360" w:lineRule="exact"/>
        <w:ind w:firstLine="420" w:firstLineChars="200"/>
        <w:rPr>
          <w:rFonts w:cs="宋体"/>
        </w:rPr>
      </w:pPr>
      <w:r>
        <w:rPr>
          <w:rFonts w:hint="eastAsia" w:cs="宋体"/>
        </w:rPr>
        <w:t>郑州矿区煤巷锚杆拉拔试验结果表明：当</w:t>
      </w:r>
      <w:r>
        <w:rPr>
          <w:rFonts w:cs="宋体"/>
        </w:rPr>
        <w:t>采用</w:t>
      </w:r>
      <w:r>
        <w:rPr>
          <w:rFonts w:hint="eastAsia" w:cs="宋体"/>
        </w:rPr>
        <w:t>规格</w:t>
      </w:r>
      <w:commentRangeStart w:id="26"/>
      <w:r>
        <w:t>Φ20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mm</w:t>
      </w:r>
      <w:r>
        <w:rPr>
          <w:rFonts w:hint="eastAsia" w:cs="宋体"/>
        </w:rPr>
        <w:t>×L</w:t>
      </w:r>
      <w:r>
        <w:t>2400</w:t>
      </w:r>
      <w:r>
        <w:rPr>
          <w:rFonts w:hint="eastAsia"/>
          <w:lang w:val="en-US" w:eastAsia="zh-CN"/>
        </w:rPr>
        <w:t xml:space="preserve"> </w:t>
      </w:r>
      <w:r>
        <w:t>mm</w:t>
      </w:r>
      <w:commentRangeEnd w:id="26"/>
      <w:r>
        <w:rPr>
          <w:rStyle w:val="30"/>
        </w:rPr>
        <w:commentReference w:id="26"/>
      </w:r>
      <w:r>
        <w:rPr>
          <w:rFonts w:hint="eastAsia" w:cs="宋体"/>
        </w:rPr>
        <w:t>左旋锚杆</w:t>
      </w:r>
      <w:r>
        <w:rPr>
          <w:rFonts w:cs="宋体"/>
        </w:rPr>
        <w:t>配合</w:t>
      </w:r>
      <w:r>
        <w:rPr>
          <w:rFonts w:hint="eastAsia"/>
        </w:rPr>
        <w:t>两</w:t>
      </w:r>
      <w:r>
        <w:rPr>
          <w:rFonts w:hint="eastAsia" w:cs="宋体"/>
        </w:rPr>
        <w:t>支树脂锚固剂（K</w:t>
      </w:r>
      <w:r>
        <w:rPr>
          <w:rFonts w:cs="宋体"/>
        </w:rPr>
        <w:t xml:space="preserve">2350 </w:t>
      </w:r>
      <w:r>
        <w:rPr>
          <w:rFonts w:hint="eastAsia" w:cs="宋体"/>
        </w:rPr>
        <w:t>和Z</w:t>
      </w:r>
      <w:r>
        <w:rPr>
          <w:rFonts w:cs="宋体"/>
        </w:rPr>
        <w:t>2350</w:t>
      </w:r>
      <w:r>
        <w:rPr>
          <w:rFonts w:hint="eastAsia" w:cs="宋体"/>
        </w:rPr>
        <w:t>各</w:t>
      </w:r>
      <w:r>
        <w:rPr>
          <w:rFonts w:cs="宋体"/>
        </w:rPr>
        <w:t>一支</w:t>
      </w:r>
      <w:r>
        <w:rPr>
          <w:rFonts w:hint="eastAsia" w:cs="宋体"/>
        </w:rPr>
        <w:t>）时</w:t>
      </w:r>
      <w:r>
        <w:rPr>
          <w:rFonts w:cs="宋体"/>
        </w:rPr>
        <w:t>，</w:t>
      </w:r>
      <w:r>
        <w:rPr>
          <w:rFonts w:hint="eastAsia" w:cs="宋体"/>
        </w:rPr>
        <w:t>左旋无纵筋螺纹钢锚杆的有效锚固长度达到</w:t>
      </w:r>
      <w:r>
        <w:t>0.74</w:t>
      </w:r>
      <w:r>
        <w:rPr>
          <w:rFonts w:hint="eastAsia"/>
          <w:lang w:val="en-US" w:eastAsia="zh-CN"/>
        </w:rPr>
        <w:t xml:space="preserve"> </w:t>
      </w:r>
      <w:r>
        <w:t>m</w:t>
      </w:r>
      <w:r>
        <w:rPr>
          <w:rFonts w:hint="eastAsia"/>
        </w:rPr>
        <w:t>以上，锚杆拉拔</w:t>
      </w:r>
      <w:r>
        <w:t>力能够</w:t>
      </w:r>
      <w:r>
        <w:rPr>
          <w:rFonts w:hint="eastAsia"/>
        </w:rPr>
        <w:t>达到50</w:t>
      </w:r>
      <w:r>
        <w:rPr>
          <w:rFonts w:hint="eastAsia"/>
          <w:lang w:val="en-US" w:eastAsia="zh-CN"/>
        </w:rPr>
        <w:t xml:space="preserve"> </w:t>
      </w:r>
      <w:commentRangeStart w:id="27"/>
      <w:r>
        <w:rPr>
          <w:rFonts w:hint="eastAsia"/>
        </w:rPr>
        <w:t>kN</w:t>
      </w:r>
      <w:commentRangeEnd w:id="27"/>
      <w:r>
        <w:rPr>
          <w:rStyle w:val="30"/>
        </w:rPr>
        <w:commentReference w:id="27"/>
      </w:r>
      <w:r>
        <w:rPr>
          <w:rFonts w:hint="eastAsia"/>
        </w:rPr>
        <w:t>以上</w:t>
      </w:r>
      <w:r>
        <w:rPr>
          <w:rFonts w:hint="eastAsia"/>
          <w:kern w:val="24"/>
        </w:rPr>
        <w:t>，</w:t>
      </w:r>
      <w:r>
        <w:rPr>
          <w:rFonts w:hint="eastAsia" w:cs="宋体"/>
        </w:rPr>
        <w:t>二</w:t>
      </w:r>
      <w:r>
        <w:rPr>
          <w:vertAlign w:val="subscript"/>
        </w:rPr>
        <w:t>1</w:t>
      </w:r>
      <w:r>
        <w:rPr>
          <w:rFonts w:hint="eastAsia" w:cs="宋体"/>
        </w:rPr>
        <w:t>煤层的锚固性能得到保证。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3.1.2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锚杆预紧力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/>
        </w:rPr>
        <w:t>锚杆的安装预紧力是锚杆支护承载结构能否形成的关键。对三软煤层而言，锚杆支护初期提供较高的初始预紧力，有助于形成</w:t>
      </w:r>
      <w:r>
        <w:rPr>
          <w:rFonts w:cs="宋体"/>
          <w:color w:val="000000"/>
        </w:rPr>
        <w:t>稳定可靠的支护承载结构，</w:t>
      </w:r>
      <w:r>
        <w:rPr>
          <w:rFonts w:hint="eastAsia" w:cs="宋体"/>
          <w:color w:val="000000"/>
        </w:rPr>
        <w:t>抑制煤体的离层、破坏。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根据已有研究成果和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现场实践</w:t>
      </w:r>
      <w:r>
        <w:rPr>
          <w:rFonts w:hint="eastAsia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</w:t>
      </w: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7]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，煤层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锚杆预紧力矩不应小于200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·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岩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层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中锚杆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预紧力矩不应小于2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·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rFonts w:hint="eastAsia"/>
          <w:kern w:val="24"/>
        </w:rPr>
        <w:t>。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3.1.3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护表强度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/>
          <w:color w:val="000000"/>
        </w:rPr>
        <w:t>由于二</w:t>
      </w:r>
      <w:r>
        <w:rPr>
          <w:color w:val="000000"/>
          <w:vertAlign w:val="subscript"/>
        </w:rPr>
        <w:t>1</w:t>
      </w:r>
      <w:r>
        <w:rPr>
          <w:rFonts w:hint="eastAsia"/>
          <w:color w:val="000000"/>
        </w:rPr>
        <w:t>煤层极为松散，采用</w:t>
      </w:r>
      <w:r>
        <w:rPr>
          <w:color w:val="000000"/>
        </w:rPr>
        <w:t>普通金属铁丝网时不仅容易产生网兜，而且随着网兜变大、破坏，</w:t>
      </w:r>
      <w:r>
        <w:rPr>
          <w:rFonts w:hint="eastAsia"/>
          <w:color w:val="000000"/>
        </w:rPr>
        <w:t>锚杆载荷</w:t>
      </w:r>
      <w:r>
        <w:rPr>
          <w:color w:val="000000"/>
        </w:rPr>
        <w:t>不</w:t>
      </w:r>
      <w:r>
        <w:rPr>
          <w:rFonts w:hint="eastAsia"/>
          <w:color w:val="000000"/>
        </w:rPr>
        <w:t>断</w:t>
      </w:r>
      <w:r>
        <w:rPr>
          <w:color w:val="000000"/>
        </w:rPr>
        <w:t>降低，锚网支护体系逐渐被破坏</w:t>
      </w:r>
      <w:r>
        <w:rPr>
          <w:rFonts w:hint="eastAsia"/>
          <w:color w:val="000000"/>
        </w:rPr>
        <w:t>，因此，</w:t>
      </w:r>
      <w:r>
        <w:rPr>
          <w:color w:val="000000"/>
        </w:rPr>
        <w:t>必须提高煤巷锚网支护的护表强度</w:t>
      </w:r>
      <w:r>
        <w:rPr>
          <w:rFonts w:hint="eastAsia"/>
          <w:color w:val="000000"/>
        </w:rPr>
        <w:t>，</w:t>
      </w:r>
      <w:r>
        <w:rPr>
          <w:color w:val="000000"/>
        </w:rPr>
        <w:t>同时防止松散煤体流变</w:t>
      </w:r>
      <w:r>
        <w:rPr>
          <w:rFonts w:hint="eastAsia"/>
          <w:color w:val="000000"/>
        </w:rPr>
        <w:t>。</w:t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施工技术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3.2.1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快速安装工艺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/>
          <w:color w:val="000000"/>
        </w:rPr>
        <w:t>永久支护锚杆</w:t>
      </w:r>
      <w:r>
        <w:rPr>
          <w:color w:val="000000"/>
        </w:rPr>
        <w:t>的</w:t>
      </w:r>
      <w:r>
        <w:rPr>
          <w:rFonts w:hint="eastAsia"/>
          <w:color w:val="000000"/>
        </w:rPr>
        <w:t>施工采用快速安装工艺，实现打眼和</w:t>
      </w:r>
      <w:r>
        <w:rPr>
          <w:color w:val="000000"/>
        </w:rPr>
        <w:t>锚杆安装</w:t>
      </w:r>
      <w:r>
        <w:rPr>
          <w:rFonts w:hint="eastAsia"/>
          <w:color w:val="000000"/>
        </w:rPr>
        <w:t>一次</w:t>
      </w:r>
      <w:r>
        <w:rPr>
          <w:color w:val="000000"/>
        </w:rPr>
        <w:t>完成</w:t>
      </w:r>
      <w:r>
        <w:rPr>
          <w:rFonts w:hint="eastAsia"/>
          <w:color w:val="000000"/>
        </w:rPr>
        <w:t>，减少顶板空锚时间。快速安装工艺技术核心</w:t>
      </w:r>
      <w:r>
        <w:rPr>
          <w:color w:val="000000"/>
        </w:rPr>
        <w:t>在于快速安装</w:t>
      </w:r>
      <w:r>
        <w:rPr>
          <w:rFonts w:hint="eastAsia"/>
          <w:color w:val="000000"/>
        </w:rPr>
        <w:t>螺母，快速安装螺母不同于普通螺母，它在螺母外端装有金属封板，在金属封板未被顶破前螺母不能旋转，通过锚杆钻机的带动可实现锚杆的快速安装搅拌，锚杆锚固凝胶后钻机继续旋转，顶开封板，使螺帽达到规定扭矩。据</w:t>
      </w:r>
      <w:r>
        <w:rPr>
          <w:color w:val="000000"/>
        </w:rPr>
        <w:t>统计，</w:t>
      </w:r>
      <w:r>
        <w:rPr>
          <w:rFonts w:hint="eastAsia"/>
          <w:color w:val="000000"/>
        </w:rPr>
        <w:t>快速安装工艺可将</w:t>
      </w:r>
      <w:r>
        <w:rPr>
          <w:color w:val="000000"/>
        </w:rPr>
        <w:t>锚杆施工速度提高1/3</w:t>
      </w:r>
      <w:r>
        <w:rPr>
          <w:rFonts w:hint="eastAsia"/>
          <w:color w:val="000000"/>
        </w:rPr>
        <w:t>以上，</w:t>
      </w:r>
      <w:r>
        <w:rPr>
          <w:color w:val="000000"/>
        </w:rPr>
        <w:t>施工</w:t>
      </w:r>
      <w:r>
        <w:rPr>
          <w:rFonts w:hint="eastAsia"/>
          <w:color w:val="000000"/>
        </w:rPr>
        <w:t>效率的提高</w:t>
      </w:r>
      <w:r>
        <w:rPr>
          <w:color w:val="000000"/>
        </w:rPr>
        <w:t>，为</w:t>
      </w:r>
      <w:r>
        <w:rPr>
          <w:rFonts w:hint="eastAsia"/>
          <w:color w:val="000000"/>
        </w:rPr>
        <w:t>煤巷锚网支护</w:t>
      </w:r>
      <w:r>
        <w:rPr>
          <w:color w:val="000000"/>
        </w:rPr>
        <w:t>技术的</w:t>
      </w:r>
      <w:r>
        <w:rPr>
          <w:rFonts w:hint="eastAsia"/>
          <w:color w:val="000000"/>
        </w:rPr>
        <w:t>全面推广创造了条件。</w:t>
      </w:r>
    </w:p>
    <w:p>
      <w:pPr>
        <w:spacing w:line="320" w:lineRule="atLeast"/>
        <w:rPr>
          <w:color w:val="000000"/>
        </w:rPr>
      </w:pPr>
      <w:r>
        <w:rPr>
          <w:rFonts w:hint="eastAsia"/>
          <w:color w:val="000000"/>
        </w:rPr>
        <w:t>3.2.2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及时</w:t>
      </w:r>
      <w:r>
        <w:rPr>
          <w:color w:val="000000"/>
        </w:rPr>
        <w:t>支护</w:t>
      </w:r>
    </w:p>
    <w:p>
      <w:pPr>
        <w:spacing w:line="360" w:lineRule="exact"/>
        <w:ind w:firstLine="420" w:firstLineChars="200"/>
        <w:rPr>
          <w:rFonts w:cs="宋体"/>
          <w:color w:val="000000"/>
        </w:rPr>
      </w:pPr>
      <w:r>
        <w:rPr>
          <w:rFonts w:hint="eastAsia"/>
          <w:color w:val="000000"/>
        </w:rPr>
        <w:t>郑州</w:t>
      </w:r>
      <w:r>
        <w:rPr>
          <w:color w:val="000000"/>
        </w:rPr>
        <w:t>矿区</w:t>
      </w:r>
      <w:r>
        <w:rPr>
          <w:rFonts w:hint="eastAsia" w:cs="宋体"/>
          <w:color w:val="000000"/>
        </w:rPr>
        <w:t>二</w:t>
      </w:r>
      <w:r>
        <w:rPr>
          <w:color w:val="000000"/>
          <w:vertAlign w:val="subscript"/>
        </w:rPr>
        <w:t>1</w:t>
      </w:r>
      <w:r>
        <w:rPr>
          <w:rFonts w:hint="eastAsia" w:cs="宋体"/>
          <w:color w:val="000000"/>
        </w:rPr>
        <w:t>煤层顶板</w:t>
      </w:r>
      <w:r>
        <w:rPr>
          <w:rFonts w:cs="宋体"/>
          <w:color w:val="000000"/>
        </w:rPr>
        <w:t>极不稳定，自稳时间</w:t>
      </w:r>
      <w:r>
        <w:rPr>
          <w:rFonts w:hint="eastAsia" w:cs="宋体"/>
          <w:color w:val="000000"/>
        </w:rPr>
        <w:t>只有几分钟</w:t>
      </w:r>
      <w:r>
        <w:rPr>
          <w:rFonts w:cs="宋体"/>
          <w:color w:val="000000"/>
        </w:rPr>
        <w:t>，甚至</w:t>
      </w:r>
      <w:r>
        <w:rPr>
          <w:rFonts w:hint="eastAsia" w:cs="宋体"/>
          <w:color w:val="000000"/>
        </w:rPr>
        <w:t>出现</w:t>
      </w:r>
      <w:r>
        <w:rPr>
          <w:rFonts w:cs="宋体"/>
          <w:color w:val="000000"/>
        </w:rPr>
        <w:t>随掘随冒</w:t>
      </w:r>
      <w:r>
        <w:rPr>
          <w:rFonts w:hint="eastAsia" w:cs="宋体"/>
          <w:color w:val="000000"/>
        </w:rPr>
        <w:t>现象，因此巷道</w:t>
      </w:r>
      <w:r>
        <w:rPr>
          <w:rFonts w:cs="宋体"/>
          <w:color w:val="000000"/>
        </w:rPr>
        <w:t>开挖后，停止一切与</w:t>
      </w:r>
      <w:r>
        <w:rPr>
          <w:rFonts w:hint="eastAsia" w:cs="宋体"/>
          <w:color w:val="000000"/>
        </w:rPr>
        <w:t>顶板</w:t>
      </w:r>
      <w:r>
        <w:rPr>
          <w:rFonts w:cs="宋体"/>
          <w:color w:val="000000"/>
        </w:rPr>
        <w:t>支护无关的工作，第一时间</w:t>
      </w:r>
      <w:r>
        <w:rPr>
          <w:rFonts w:hint="eastAsia" w:cs="宋体"/>
          <w:color w:val="000000"/>
        </w:rPr>
        <w:t>采用短</w:t>
      </w:r>
      <w:r>
        <w:rPr>
          <w:rFonts w:cs="宋体"/>
          <w:color w:val="000000"/>
        </w:rPr>
        <w:t>锚杆或者玻璃钢单体柱对</w:t>
      </w:r>
      <w:r>
        <w:rPr>
          <w:rFonts w:hint="eastAsia" w:cs="宋体"/>
          <w:color w:val="000000"/>
        </w:rPr>
        <w:t>巷道</w:t>
      </w:r>
      <w:r>
        <w:rPr>
          <w:rFonts w:cs="宋体"/>
          <w:color w:val="000000"/>
        </w:rPr>
        <w:t>顶板进行临时支护，</w:t>
      </w:r>
      <w:r>
        <w:rPr>
          <w:rFonts w:hint="eastAsia" w:cs="宋体"/>
          <w:color w:val="000000"/>
        </w:rPr>
        <w:t>进而按照</w:t>
      </w:r>
      <w:r>
        <w:rPr>
          <w:rFonts w:cs="宋体"/>
          <w:color w:val="000000"/>
        </w:rPr>
        <w:t>先顶后帮的顺序进行永久支护。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r>
        <w:rPr>
          <w:rFonts w:eastAsia="黑体"/>
          <w:b/>
          <w:bCs/>
          <w:color w:val="000000"/>
          <w:sz w:val="28"/>
          <w:szCs w:val="28"/>
        </w:rPr>
        <w:t xml:space="preserve">4 </w:t>
      </w:r>
      <w:r>
        <w:rPr>
          <w:rFonts w:hint="eastAsia" w:eastAsia="黑体"/>
          <w:b/>
          <w:bCs/>
          <w:color w:val="000000"/>
          <w:sz w:val="28"/>
          <w:szCs w:val="28"/>
        </w:rPr>
        <w:t>工程实例</w:t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.1锚网支护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技术方案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郑煤集团超化煤矿22011A运输巷标高-112.2～-80.5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m，埋深295.7～285.3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m，平均埋深约290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m；煤层厚度6～1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m，平均厚度达到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m，22011A运输巷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设计沿底板掘进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，开展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三软特厚煤层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煤巷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锚网支护技术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方案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设计和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现场试验研究。</w:t>
      </w:r>
    </w:p>
    <w:p>
      <w:pPr>
        <w:spacing w:line="360" w:lineRule="exact"/>
        <w:ind w:firstLine="420" w:firstLineChars="200"/>
        <w:rPr>
          <w:szCs w:val="24"/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超化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煤矿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22011A运输巷锚网支护设计如图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3所示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，巷道采用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矩形断面，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断面尺寸为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4.8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×3.0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m。顶帮均采用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mm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×L2400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</w:t>
      </w:r>
      <w:r>
        <w:rPr>
          <w:rFonts w:hint="eastAsia"/>
          <w:color w:val="000000"/>
        </w:rPr>
        <w:t>左旋无纵筋高强度（KMG335）锚杆</w:t>
      </w:r>
      <w:r>
        <w:rPr>
          <w:rFonts w:hint="eastAsia"/>
          <w:szCs w:val="24"/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锚杆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间排距</w:t>
      </w:r>
      <w:commentRangeStart w:id="28"/>
      <w:r>
        <w:rPr>
          <w:color w:val="000000" w:themeColor="text1"/>
          <w14:textFill>
            <w14:solidFill>
              <w14:schemeClr w14:val="tx1"/>
            </w14:solidFill>
          </w14:textFill>
        </w:rPr>
        <w:t>750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00mm</w:t>
      </w:r>
      <w:commentRangeEnd w:id="28"/>
      <w:r>
        <w:rPr>
          <w:rStyle w:val="30"/>
        </w:rPr>
        <w:commentReference w:id="28"/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，帮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锚杆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间排距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800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mm×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00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mm。</w:t>
      </w:r>
      <w:r>
        <w:rPr>
          <w:szCs w:val="24"/>
        </w:rPr>
        <w:t>锚杆采用快速安装螺母配合减摩垫圈使用，锚杆托盘</w:t>
      </w:r>
      <w:r>
        <w:rPr>
          <w:rFonts w:hint="eastAsia"/>
          <w:szCs w:val="24"/>
        </w:rPr>
        <w:t>为</w:t>
      </w:r>
      <w:r>
        <w:rPr>
          <w:szCs w:val="24"/>
        </w:rPr>
        <w:t>蝶形托盘，规格为140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szCs w:val="24"/>
        </w:rPr>
        <w:t>mm×140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szCs w:val="24"/>
        </w:rPr>
        <w:t>mm×10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szCs w:val="24"/>
        </w:rPr>
        <w:t>mm</w:t>
      </w:r>
      <w:r>
        <w:rPr>
          <w:rFonts w:hint="eastAsia"/>
          <w:szCs w:val="24"/>
        </w:rPr>
        <w:t>。</w:t>
      </w:r>
    </w:p>
    <w:p>
      <w:pPr>
        <w:spacing w:line="360" w:lineRule="exact"/>
        <w:ind w:firstLine="420" w:firstLineChars="200"/>
        <w:rPr>
          <w:kern w:val="24"/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顶板锚索采用“3-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-3”布置方式，锚索规格为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Φ18.9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mm×L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250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mm，锚索排距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16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mm，</w:t>
      </w:r>
      <w:r>
        <w:rPr>
          <w:rFonts w:hint="eastAsia"/>
          <w:kern w:val="24"/>
        </w:rPr>
        <w:t>使用</w:t>
      </w:r>
      <w:r>
        <w:rPr>
          <w:kern w:val="24"/>
        </w:rPr>
        <w:t>2支</w:t>
      </w:r>
      <w:r>
        <w:rPr>
          <w:rFonts w:hint="eastAsia"/>
          <w:kern w:val="24"/>
        </w:rPr>
        <w:t>Z2350和1</w:t>
      </w:r>
      <w:r>
        <w:rPr>
          <w:kern w:val="24"/>
        </w:rPr>
        <w:t>支</w:t>
      </w:r>
      <w:r>
        <w:rPr>
          <w:rFonts w:hint="eastAsia"/>
          <w:kern w:val="24"/>
        </w:rPr>
        <w:t>K2350共</w:t>
      </w:r>
      <w:r>
        <w:rPr>
          <w:kern w:val="24"/>
        </w:rPr>
        <w:t>3支</w:t>
      </w:r>
      <w:r>
        <w:rPr>
          <w:rFonts w:hint="eastAsia"/>
          <w:kern w:val="24"/>
        </w:rPr>
        <w:t>树脂锚固剂锚固，锚索</w:t>
      </w:r>
      <w:r>
        <w:rPr>
          <w:kern w:val="24"/>
        </w:rPr>
        <w:t>托盘不小于300</w:t>
      </w:r>
      <w:r>
        <w:rPr>
          <w:rFonts w:hint="eastAsia"/>
          <w:kern w:val="24"/>
          <w:lang w:val="en-US" w:eastAsia="zh-CN"/>
        </w:rPr>
        <w:t xml:space="preserve"> </w:t>
      </w:r>
      <w:r>
        <w:rPr>
          <w:kern w:val="24"/>
        </w:rPr>
        <w:t>mm</w:t>
      </w:r>
      <w:r>
        <w:rPr>
          <w:szCs w:val="24"/>
        </w:rPr>
        <w:t>×300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rFonts w:hint="eastAsia"/>
          <w:szCs w:val="24"/>
        </w:rPr>
        <w:t>mm</w:t>
      </w:r>
      <w:r>
        <w:rPr>
          <w:szCs w:val="24"/>
        </w:rPr>
        <w:t>×10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szCs w:val="24"/>
        </w:rPr>
        <w:t>mm</w:t>
      </w:r>
      <w:r>
        <w:rPr>
          <w:rFonts w:hint="eastAsia"/>
          <w:szCs w:val="24"/>
        </w:rPr>
        <w:t>（可</w:t>
      </w:r>
      <w:r>
        <w:rPr>
          <w:szCs w:val="24"/>
        </w:rPr>
        <w:t>使用废旧</w:t>
      </w:r>
      <w:r>
        <w:rPr>
          <w:rFonts w:hint="eastAsia"/>
          <w:szCs w:val="24"/>
        </w:rPr>
        <w:t>3</w:t>
      </w:r>
      <w:r>
        <w:rPr>
          <w:szCs w:val="24"/>
        </w:rPr>
        <w:t>6U型钢加工）</w:t>
      </w:r>
      <w:r>
        <w:rPr>
          <w:rFonts w:hint="eastAsia"/>
          <w:szCs w:val="24"/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锚索预紧力不小于100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k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N。</w:t>
      </w:r>
    </w:p>
    <w:p>
      <w:pPr>
        <w:spacing w:line="360" w:lineRule="exact"/>
        <w:ind w:firstLine="420" w:firstLineChars="200"/>
        <w:rPr>
          <w:kern w:val="24"/>
        </w:rPr>
      </w:pPr>
      <w:r>
        <w:rPr>
          <w:rFonts w:hint="eastAsia"/>
          <w:kern w:val="24"/>
        </w:rPr>
        <w:t>采用“</w:t>
      </w:r>
      <w:r>
        <w:rPr>
          <w:color w:val="000000"/>
        </w:rPr>
        <w:t>Φ6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color w:val="000000"/>
        </w:rPr>
        <w:t>mm</w:t>
      </w:r>
      <w:r>
        <w:rPr>
          <w:rFonts w:cs="宋体"/>
          <w:color w:val="000000"/>
        </w:rPr>
        <w:t>钢筋网+</w:t>
      </w:r>
      <w:r>
        <w:rPr>
          <w:rFonts w:hint="eastAsia" w:cs="宋体"/>
          <w:color w:val="000000"/>
        </w:rPr>
        <w:t>网孔</w:t>
      </w:r>
      <w:r>
        <w:rPr>
          <w:rFonts w:cs="宋体"/>
          <w:color w:val="000000"/>
        </w:rPr>
        <w:t>尺寸</w:t>
      </w:r>
      <w:r>
        <w:rPr>
          <w:rFonts w:hint="eastAsia" w:cs="宋体"/>
          <w:color w:val="000000"/>
        </w:rPr>
        <w:t>不大于60</w:t>
      </w:r>
      <w:r>
        <w:rPr>
          <w:rFonts w:hint="eastAsia" w:cs="宋体"/>
          <w:color w:val="000000"/>
          <w:lang w:val="en-US" w:eastAsia="zh-CN"/>
        </w:rPr>
        <w:t xml:space="preserve"> </w:t>
      </w:r>
      <w:r>
        <w:rPr>
          <w:rFonts w:hint="eastAsia" w:cs="宋体"/>
          <w:color w:val="000000"/>
        </w:rPr>
        <w:t>mm</w:t>
      </w:r>
      <w:r>
        <w:rPr>
          <w:rFonts w:hint="eastAsia" w:ascii="宋体" w:hAnsi="宋体" w:cs="宋体"/>
          <w:color w:val="000000"/>
        </w:rPr>
        <w:t>×</w:t>
      </w:r>
      <w:r>
        <w:rPr>
          <w:rFonts w:cs="宋体"/>
          <w:color w:val="000000"/>
        </w:rPr>
        <w:t>60</w:t>
      </w:r>
      <w:r>
        <w:rPr>
          <w:rFonts w:hint="eastAsia" w:cs="宋体"/>
          <w:color w:val="000000"/>
          <w:lang w:val="en-US" w:eastAsia="zh-CN"/>
        </w:rPr>
        <w:t xml:space="preserve"> </w:t>
      </w:r>
      <w:r>
        <w:rPr>
          <w:rFonts w:cs="宋体"/>
          <w:color w:val="000000"/>
        </w:rPr>
        <w:t>mm黑色硬质塑料网</w:t>
      </w:r>
      <w:r>
        <w:rPr>
          <w:rFonts w:hint="eastAsia" w:cs="宋体"/>
          <w:color w:val="000000"/>
        </w:rPr>
        <w:t>形成</w:t>
      </w:r>
      <w:r>
        <w:rPr>
          <w:rFonts w:cs="宋体"/>
          <w:color w:val="000000"/>
        </w:rPr>
        <w:t>的双层</w:t>
      </w:r>
      <w:r>
        <w:rPr>
          <w:rFonts w:hint="eastAsia" w:cs="宋体"/>
          <w:color w:val="000000"/>
        </w:rPr>
        <w:t>网配合</w:t>
      </w:r>
      <w:r>
        <w:rPr>
          <w:color w:val="000000"/>
        </w:rPr>
        <w:t>Φ14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color w:val="000000"/>
        </w:rPr>
        <w:t>mm</w:t>
      </w:r>
      <w:r>
        <w:rPr>
          <w:rFonts w:hint="eastAsia"/>
          <w:color w:val="000000"/>
        </w:rPr>
        <w:t>钢筋体梯子</w:t>
      </w:r>
      <w:r>
        <w:rPr>
          <w:color w:val="000000"/>
        </w:rPr>
        <w:t>梁</w:t>
      </w:r>
      <w:r>
        <w:rPr>
          <w:rFonts w:hint="eastAsia"/>
          <w:kern w:val="24"/>
        </w:rPr>
        <w:t>”</w:t>
      </w:r>
      <w:r>
        <w:rPr>
          <w:rFonts w:hint="eastAsia" w:cs="宋体"/>
          <w:color w:val="000000"/>
        </w:rPr>
        <w:t>强力</w:t>
      </w:r>
      <w:r>
        <w:rPr>
          <w:rFonts w:hint="eastAsia"/>
          <w:kern w:val="24"/>
        </w:rPr>
        <w:t>护表，巷道表面网与网搭接长度不小于100</w:t>
      </w:r>
      <w:r>
        <w:rPr>
          <w:rFonts w:hint="eastAsia"/>
          <w:kern w:val="24"/>
          <w:lang w:val="en-US" w:eastAsia="zh-CN"/>
        </w:rPr>
        <w:t xml:space="preserve"> </w:t>
      </w:r>
      <w:r>
        <w:rPr>
          <w:rFonts w:hint="eastAsia"/>
          <w:kern w:val="24"/>
        </w:rPr>
        <w:t>mm，钢筋网与硬质塑料网使用14</w:t>
      </w:r>
      <w:r>
        <w:rPr>
          <w:rFonts w:hint="eastAsia"/>
          <w:kern w:val="24"/>
          <w:vertAlign w:val="superscript"/>
        </w:rPr>
        <w:t>#</w:t>
      </w:r>
      <w:r>
        <w:rPr>
          <w:rFonts w:hint="eastAsia"/>
          <w:kern w:val="24"/>
        </w:rPr>
        <w:t>以上双股铁丝联网，</w:t>
      </w:r>
      <w:r>
        <w:rPr>
          <w:rFonts w:hint="eastAsia" w:cs="宋体"/>
          <w:color w:val="000000"/>
        </w:rPr>
        <w:t>防止</w:t>
      </w:r>
      <w:r>
        <w:rPr>
          <w:rFonts w:cs="宋体"/>
          <w:color w:val="000000"/>
        </w:rPr>
        <w:t>粉煤漏失</w:t>
      </w:r>
      <w:r>
        <w:rPr>
          <w:rFonts w:hint="eastAsia" w:cs="宋体"/>
          <w:color w:val="000000"/>
        </w:rPr>
        <w:t>，有效</w:t>
      </w:r>
      <w:r>
        <w:rPr>
          <w:rFonts w:cs="宋体"/>
          <w:color w:val="000000"/>
        </w:rPr>
        <w:t>控制煤体流变。</w:t>
      </w:r>
    </w:p>
    <w:p>
      <w:pPr>
        <w:pStyle w:val="66"/>
      </w:pPr>
      <w:r>
        <w:drawing>
          <wp:inline distT="0" distB="0" distL="0" distR="0">
            <wp:extent cx="2882900" cy="2260600"/>
            <wp:effectExtent l="0" t="0" r="0" b="6350"/>
            <wp:docPr id="15" name="图片 1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7561" cy="2264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commentRangeStart w:id="29"/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图3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22011A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运输巷</w:t>
      </w:r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锚网支护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设计方案（mm）</w:t>
      </w:r>
      <w:commentRangeEnd w:id="29"/>
      <w:r>
        <w:rPr>
          <w:rStyle w:val="30"/>
        </w:rPr>
        <w:commentReference w:id="29"/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支护效果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评价</w:t>
      </w:r>
    </w:p>
    <w:p>
      <w:pPr>
        <w:spacing w:line="3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/>
        </w:rPr>
        <w:t>4.2.1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矿压</w:t>
      </w:r>
      <w:r>
        <w:rPr>
          <w:color w:val="000000"/>
        </w:rPr>
        <w:t>观测方法</w:t>
      </w:r>
    </w:p>
    <w:p>
      <w:pPr>
        <w:spacing w:line="360" w:lineRule="exact"/>
        <w:ind w:firstLine="420" w:firstLineChars="200"/>
        <w:rPr>
          <w:rFonts w:ascii="宋体" w:hAnsi="宋体"/>
          <w:color w:val="000000"/>
          <w:lang w:val="nl-NL"/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采用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十字布点法进行巷道表面位移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观测，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主要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监测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巷道顶底板移近量和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两帮移近量；采用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顶板离层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指示仪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进行顶板离层监测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，其中</w:t>
      </w:r>
      <w:r>
        <w:rPr>
          <w:rFonts w:hint="eastAsia" w:ascii="宋体" w:hAnsi="宋体"/>
          <w:color w:val="000000"/>
          <w:lang w:val="nl-NL"/>
        </w:rPr>
        <w:t>离层指示仪深基点设置在</w:t>
      </w:r>
      <w:r>
        <w:rPr>
          <w:rFonts w:ascii="宋体" w:hAnsi="宋体"/>
          <w:color w:val="000000"/>
          <w:lang w:val="nl-NL"/>
        </w:rPr>
        <w:t>孔深</w:t>
      </w:r>
      <w:r>
        <w:rPr>
          <w:rFonts w:hint="default" w:ascii="Times New Roman" w:hAnsi="Times New Roman" w:cs="Times New Roman"/>
          <w:color w:val="000000"/>
          <w:lang w:val="nl-NL"/>
        </w:rPr>
        <w:t>8</w:t>
      </w:r>
      <w:r>
        <w:rPr>
          <w:rFonts w:hint="default" w:ascii="Times New Roman" w:hAnsi="Times New Roman" w:cs="Times New Roman"/>
          <w:color w:val="00000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lang w:val="nl-NL"/>
        </w:rPr>
        <w:t>m</w:t>
      </w:r>
      <w:r>
        <w:rPr>
          <w:rFonts w:hint="eastAsia" w:ascii="宋体" w:hAnsi="宋体"/>
          <w:color w:val="000000"/>
          <w:lang w:val="nl-NL"/>
        </w:rPr>
        <w:t>处、浅基点设置在</w:t>
      </w:r>
      <w:r>
        <w:rPr>
          <w:rFonts w:ascii="宋体" w:hAnsi="宋体"/>
          <w:color w:val="000000"/>
          <w:lang w:val="nl-NL"/>
        </w:rPr>
        <w:t>孔深</w:t>
      </w:r>
      <w:r>
        <w:rPr>
          <w:rFonts w:hint="default" w:ascii="Times New Roman" w:hAnsi="Times New Roman" w:cs="Times New Roman"/>
          <w:color w:val="000000"/>
          <w:lang w:val="nl-NL"/>
        </w:rPr>
        <w:t>2</w:t>
      </w:r>
      <w:r>
        <w:rPr>
          <w:rFonts w:hint="default" w:ascii="Times New Roman" w:hAnsi="Times New Roman" w:cs="Times New Roman"/>
          <w:color w:val="00000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lang w:val="nl-NL"/>
        </w:rPr>
        <w:t>m</w:t>
      </w:r>
      <w:r>
        <w:rPr>
          <w:rFonts w:hint="eastAsia" w:ascii="宋体" w:hAnsi="宋体"/>
          <w:color w:val="000000"/>
          <w:lang w:val="nl-NL"/>
        </w:rPr>
        <w:t>处，深、浅基点对应测筒初始读数调整为0。</w:t>
      </w:r>
    </w:p>
    <w:p>
      <w:pPr>
        <w:spacing w:line="360" w:lineRule="exact"/>
        <w:rPr>
          <w:color w:val="000000"/>
        </w:rPr>
      </w:pPr>
      <w:r>
        <w:rPr>
          <w:rFonts w:hint="eastAsia"/>
          <w:color w:val="000000"/>
        </w:rPr>
        <w:t>4.2.2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矿压</w:t>
      </w:r>
      <w:r>
        <w:rPr>
          <w:color w:val="000000"/>
        </w:rPr>
        <w:t>数据分析及</w:t>
      </w:r>
      <w:r>
        <w:rPr>
          <w:rFonts w:hint="eastAsia"/>
          <w:color w:val="000000"/>
        </w:rPr>
        <w:t>支护效果评价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巷道围岩表面位移曲线如图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所示，工作面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回采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靠近矿压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观测站时，</w:t>
      </w:r>
      <w:r>
        <w:rPr>
          <w:rFonts w:hint="eastAsia"/>
          <w:color w:val="000000"/>
        </w:rPr>
        <w:t>巷道顶底板移近量迅速增加，</w:t>
      </w:r>
      <w:r>
        <w:rPr>
          <w:color w:val="000000"/>
        </w:rPr>
        <w:t>其</w:t>
      </w:r>
      <w:r>
        <w:rPr>
          <w:rFonts w:hint="eastAsia"/>
          <w:color w:val="000000"/>
        </w:rPr>
        <w:t>主要原因是在</w:t>
      </w:r>
      <w:r>
        <w:rPr>
          <w:color w:val="000000"/>
        </w:rPr>
        <w:t>工作面采动</w:t>
      </w:r>
      <w:r>
        <w:rPr>
          <w:rFonts w:hint="eastAsia"/>
          <w:color w:val="000000"/>
        </w:rPr>
        <w:t>超前应力</w:t>
      </w:r>
      <w:r>
        <w:rPr>
          <w:color w:val="000000"/>
        </w:rPr>
        <w:t>影响</w:t>
      </w:r>
      <w:r>
        <w:rPr>
          <w:rFonts w:hint="eastAsia"/>
          <w:color w:val="000000"/>
        </w:rPr>
        <w:t>下</w:t>
      </w:r>
      <w:r>
        <w:rPr>
          <w:color w:val="000000"/>
        </w:rPr>
        <w:t>，</w:t>
      </w:r>
      <w:r>
        <w:rPr>
          <w:rFonts w:hint="eastAsia"/>
          <w:color w:val="000000"/>
        </w:rPr>
        <w:t>巷道顶板采用锚网支护后，巷道底板砂质泥岩强度</w:t>
      </w:r>
      <w:r>
        <w:rPr>
          <w:color w:val="000000"/>
        </w:rPr>
        <w:t>低</w:t>
      </w:r>
      <w:r>
        <w:rPr>
          <w:rFonts w:hint="eastAsia"/>
          <w:color w:val="000000"/>
        </w:rPr>
        <w:t>，无支护</w:t>
      </w:r>
      <w:r>
        <w:rPr>
          <w:color w:val="000000"/>
        </w:rPr>
        <w:t>的</w:t>
      </w:r>
      <w:r>
        <w:rPr>
          <w:rFonts w:hint="eastAsia"/>
          <w:color w:val="000000"/>
        </w:rPr>
        <w:t>巷道底板成为应力释放的突破口，</w:t>
      </w:r>
      <w:r>
        <w:rPr>
          <w:color w:val="000000"/>
        </w:rPr>
        <w:t>造成</w:t>
      </w:r>
      <w:r>
        <w:rPr>
          <w:rFonts w:hint="eastAsia"/>
          <w:color w:val="000000"/>
        </w:rPr>
        <w:t>巷道底鼓</w:t>
      </w:r>
      <w:r>
        <w:rPr>
          <w:color w:val="000000"/>
        </w:rPr>
        <w:t>严重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22011A运输巷从掘进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到回采结束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，顶底板和两帮相对移近量值最大值分别为37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mm和310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巷道表面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位移量整体较小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巷道有效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断面能够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满足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矿井安全生产需要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line="320" w:lineRule="atLeast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8"/>
        <w:gridCol w:w="4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8" w:type="dxa"/>
          </w:tcPr>
          <w:p>
            <w:pPr>
              <w:spacing w:line="320" w:lineRule="atLeas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0" distR="0">
                  <wp:extent cx="2924810" cy="1569085"/>
                  <wp:effectExtent l="0" t="0" r="0" b="0"/>
                  <wp:docPr id="6" name="图表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4868" w:type="dxa"/>
          </w:tcPr>
          <w:p>
            <w:pPr>
              <w:spacing w:line="320" w:lineRule="atLeas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0" distR="0">
                  <wp:extent cx="2873375" cy="1377950"/>
                  <wp:effectExtent l="0" t="0" r="3175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62" cy="1380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commentRangeStart w:id="30"/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图4 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巷道围岩表面位移曲线</w:t>
      </w:r>
      <w:commentRangeEnd w:id="30"/>
      <w:r>
        <w:rPr>
          <w:rStyle w:val="30"/>
        </w:rPr>
        <w:commentReference w:id="30"/>
      </w:r>
    </w:p>
    <w:p>
      <w:pPr>
        <w:spacing w:line="360" w:lineRule="exact"/>
        <w:ind w:firstLine="42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巷道顶板离层曲线图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所示，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从掘进到回采结束，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22011A运输巷顶板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离层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仪浅基点和深基点下沉量最大值分别为48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mm和52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mm，有效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控制了巷道顶板离层，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提高了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顶板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支护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安全性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8"/>
        <w:gridCol w:w="4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4868" w:type="dxa"/>
          </w:tcPr>
          <w:p>
            <w:pPr>
              <w:spacing w:line="36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-1303020</wp:posOffset>
                  </wp:positionV>
                  <wp:extent cx="2924810" cy="1480820"/>
                  <wp:effectExtent l="0" t="0" r="8890" b="5080"/>
                  <wp:wrapSquare wrapText="bothSides"/>
                  <wp:docPr id="1" name="图表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anchor>
              </w:drawing>
            </w:r>
          </w:p>
        </w:tc>
        <w:tc>
          <w:tcPr>
            <w:tcW w:w="4868" w:type="dxa"/>
          </w:tcPr>
          <w:p>
            <w:pPr>
              <w:spacing w:line="36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53975</wp:posOffset>
                  </wp:positionV>
                  <wp:extent cx="2750185" cy="1473200"/>
                  <wp:effectExtent l="0" t="0" r="0" b="0"/>
                  <wp:wrapNone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320" cy="1474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jc w:val="center"/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commentRangeStart w:id="31"/>
      <w:r>
        <w:rPr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图5 </w:t>
      </w:r>
      <w:r>
        <w:rPr>
          <w:rFonts w:hint="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巷道顶板离层曲线</w:t>
      </w:r>
      <w:commentRangeEnd w:id="31"/>
      <w:r>
        <w:rPr>
          <w:rStyle w:val="30"/>
        </w:rPr>
        <w:commentReference w:id="31"/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3效益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分析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“</w:t>
      </w:r>
      <w:r>
        <w:rPr>
          <w:rFonts w:hint="eastAsia"/>
          <w:color w:val="000000"/>
        </w:rPr>
        <w:t>三软”特厚</w:t>
      </w:r>
      <w:r>
        <w:rPr>
          <w:color w:val="000000"/>
        </w:rPr>
        <w:t>煤层</w:t>
      </w:r>
      <w:r>
        <w:rPr>
          <w:rFonts w:hint="eastAsia"/>
          <w:color w:val="000000"/>
        </w:rPr>
        <w:t>煤巷锚网支护技术是煤巷</w:t>
      </w:r>
      <w:r>
        <w:rPr>
          <w:color w:val="000000"/>
        </w:rPr>
        <w:t>锚网支护</w:t>
      </w:r>
      <w:r>
        <w:rPr>
          <w:rFonts w:hint="eastAsia"/>
          <w:color w:val="000000"/>
        </w:rPr>
        <w:t>的</w:t>
      </w:r>
      <w:r>
        <w:rPr>
          <w:color w:val="000000"/>
        </w:rPr>
        <w:t>技术</w:t>
      </w:r>
      <w:r>
        <w:rPr>
          <w:rFonts w:hint="eastAsia"/>
          <w:color w:val="000000"/>
        </w:rPr>
        <w:t>瓶颈</w:t>
      </w:r>
      <w:r>
        <w:rPr>
          <w:color w:val="000000"/>
        </w:rPr>
        <w:t>，经过</w:t>
      </w:r>
      <w:r>
        <w:rPr>
          <w:rFonts w:hint="eastAsia"/>
          <w:color w:val="000000"/>
        </w:rPr>
        <w:t>现场</w:t>
      </w:r>
      <w:r>
        <w:rPr>
          <w:color w:val="000000"/>
        </w:rPr>
        <w:t>反复试验和研究，</w:t>
      </w:r>
      <w:r>
        <w:rPr>
          <w:rFonts w:hint="eastAsia"/>
          <w:color w:val="000000"/>
        </w:rPr>
        <w:t>最终在超化矿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22011A运输巷实现</w:t>
      </w:r>
      <w:r>
        <w:rPr>
          <w:rFonts w:hint="eastAsia"/>
          <w:color w:val="000000"/>
        </w:rPr>
        <w:t>将</w:t>
      </w:r>
      <w:r>
        <w:rPr>
          <w:color w:val="000000"/>
        </w:rPr>
        <w:t>锚杆（</w:t>
      </w:r>
      <w:r>
        <w:rPr>
          <w:rFonts w:hint="eastAsia"/>
          <w:color w:val="000000"/>
        </w:rPr>
        <w:t>索</w:t>
      </w:r>
      <w:r>
        <w:rPr>
          <w:color w:val="000000"/>
        </w:rPr>
        <w:t>）</w:t>
      </w:r>
      <w:r>
        <w:rPr>
          <w:rFonts w:hint="eastAsia"/>
          <w:color w:val="000000"/>
        </w:rPr>
        <w:t>锚固在特厚煤层</w:t>
      </w:r>
      <w:r>
        <w:rPr>
          <w:color w:val="000000"/>
        </w:rPr>
        <w:t>中</w:t>
      </w:r>
      <w:r>
        <w:rPr>
          <w:rFonts w:hint="eastAsia"/>
          <w:color w:val="000000"/>
        </w:rPr>
        <w:t>而</w:t>
      </w:r>
      <w:r>
        <w:rPr>
          <w:color w:val="000000"/>
        </w:rPr>
        <w:t>不是在</w:t>
      </w:r>
      <w:r>
        <w:rPr>
          <w:rFonts w:hint="eastAsia"/>
          <w:color w:val="000000"/>
        </w:rPr>
        <w:t>顶板稳定</w:t>
      </w:r>
      <w:r>
        <w:rPr>
          <w:color w:val="000000"/>
        </w:rPr>
        <w:t>岩层中，</w:t>
      </w:r>
      <w:r>
        <w:rPr>
          <w:rFonts w:hint="eastAsia"/>
          <w:color w:val="000000"/>
        </w:rPr>
        <w:t>并取得</w:t>
      </w:r>
      <w:r>
        <w:rPr>
          <w:color w:val="000000"/>
        </w:rPr>
        <w:t>良好的支护效果</w:t>
      </w:r>
      <w:r>
        <w:rPr>
          <w:rFonts w:hint="eastAsia"/>
          <w:color w:val="000000"/>
        </w:rPr>
        <w:t>，该技术</w:t>
      </w:r>
      <w:r>
        <w:rPr>
          <w:color w:val="000000"/>
        </w:rPr>
        <w:t>的突破</w:t>
      </w:r>
      <w:r>
        <w:rPr>
          <w:rFonts w:hint="eastAsia"/>
          <w:color w:val="000000"/>
        </w:rPr>
        <w:t>促进</w:t>
      </w:r>
      <w:r>
        <w:rPr>
          <w:color w:val="000000"/>
        </w:rPr>
        <w:t>了</w:t>
      </w:r>
      <w:r>
        <w:rPr>
          <w:rFonts w:hint="eastAsia"/>
          <w:color w:val="000000"/>
        </w:rPr>
        <w:t>煤巷</w:t>
      </w:r>
      <w:r>
        <w:rPr>
          <w:color w:val="000000"/>
        </w:rPr>
        <w:t>锚网支护技术</w:t>
      </w:r>
      <w:r>
        <w:rPr>
          <w:rFonts w:hint="eastAsia"/>
          <w:color w:val="000000"/>
        </w:rPr>
        <w:t>在郑州</w:t>
      </w:r>
      <w:r>
        <w:rPr>
          <w:color w:val="000000"/>
        </w:rPr>
        <w:t>矿区的全面推广</w:t>
      </w:r>
      <w:r>
        <w:rPr>
          <w:rFonts w:hint="eastAsia"/>
          <w:color w:val="000000"/>
        </w:rPr>
        <w:t>应用。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/>
          <w:color w:val="000000"/>
        </w:rPr>
        <w:t>采用煤巷</w:t>
      </w:r>
      <w:r>
        <w:rPr>
          <w:color w:val="000000"/>
        </w:rPr>
        <w:t>锚网支护技术</w:t>
      </w:r>
      <w:r>
        <w:rPr>
          <w:rFonts w:hint="eastAsia"/>
          <w:color w:val="000000"/>
        </w:rPr>
        <w:t>后</w:t>
      </w:r>
      <w:r>
        <w:rPr>
          <w:color w:val="000000"/>
        </w:rPr>
        <w:t>，</w:t>
      </w:r>
      <w:r>
        <w:rPr>
          <w:rFonts w:hint="eastAsia"/>
          <w:color w:val="000000"/>
        </w:rPr>
        <w:t>矿区开始</w:t>
      </w:r>
      <w:r>
        <w:rPr>
          <w:rFonts w:hint="eastAsia"/>
          <w:color w:val="000000" w:themeColor="text1"/>
          <w:lang w:val="nl-NL"/>
          <w14:textFill>
            <w14:solidFill>
              <w14:schemeClr w14:val="tx1"/>
            </w14:solidFill>
          </w14:textFill>
        </w:rPr>
        <w:t>使用操作方便、</w:t>
      </w:r>
      <w:r>
        <w:rPr>
          <w:color w:val="000000" w:themeColor="text1"/>
          <w:lang w:val="nl-NL"/>
          <w14:textFill>
            <w14:solidFill>
              <w14:schemeClr w14:val="tx1"/>
            </w14:solidFill>
          </w14:textFill>
        </w:rPr>
        <w:t>能够快速移动的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超前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支护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液压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支架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进行工作面两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巷超前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支护，取消了U型钢棚支护时的端头替棚作业工序，极大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提高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了工作面快速推进能力，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产生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了显著的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技术经济效益。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commentRangeStart w:id="32"/>
      <w:r>
        <w:rPr>
          <w:rFonts w:eastAsia="黑体"/>
          <w:b/>
          <w:bCs/>
          <w:color w:val="000000"/>
          <w:sz w:val="28"/>
          <w:szCs w:val="28"/>
        </w:rPr>
        <w:t xml:space="preserve">5 </w:t>
      </w:r>
      <w:r>
        <w:rPr>
          <w:rFonts w:hint="eastAsia" w:eastAsia="黑体"/>
          <w:b/>
          <w:bCs/>
          <w:color w:val="000000"/>
          <w:sz w:val="28"/>
          <w:szCs w:val="28"/>
        </w:rPr>
        <w:t>结 论</w:t>
      </w:r>
      <w:commentRangeEnd w:id="32"/>
      <w:r>
        <w:rPr>
          <w:rStyle w:val="30"/>
        </w:rPr>
        <w:commentReference w:id="32"/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/>
          <w:color w:val="000000"/>
        </w:rPr>
        <w:t>1）</w:t>
      </w:r>
      <w:r>
        <w:rPr>
          <w:rFonts w:hint="eastAsia" w:cs="宋体"/>
          <w:color w:val="000000"/>
        </w:rPr>
        <w:t>郑州</w:t>
      </w:r>
      <w:r>
        <w:rPr>
          <w:rFonts w:cs="宋体"/>
          <w:color w:val="000000"/>
        </w:rPr>
        <w:t>矿区煤巷</w:t>
      </w:r>
      <w:r>
        <w:rPr>
          <w:rFonts w:hint="eastAsia" w:cs="宋体"/>
          <w:color w:val="000000"/>
        </w:rPr>
        <w:t>失稳破坏主要原因在于地质条件和支护选择两个方面。煤层锚固</w:t>
      </w:r>
      <w:r>
        <w:rPr>
          <w:rFonts w:cs="宋体"/>
          <w:color w:val="000000"/>
        </w:rPr>
        <w:t>性能、</w:t>
      </w:r>
      <w:r>
        <w:rPr>
          <w:rFonts w:hint="eastAsia" w:cs="宋体"/>
          <w:color w:val="000000"/>
        </w:rPr>
        <w:t>锚杆预紧力、护表强度、</w:t>
      </w:r>
      <w:r>
        <w:rPr>
          <w:rFonts w:hint="eastAsia"/>
          <w:color w:val="000000"/>
        </w:rPr>
        <w:t>快速安装工艺和</w:t>
      </w:r>
      <w:r>
        <w:rPr>
          <w:rFonts w:cs="宋体"/>
          <w:color w:val="000000"/>
        </w:rPr>
        <w:t>及时支护</w:t>
      </w:r>
      <w:r>
        <w:rPr>
          <w:rFonts w:hint="eastAsia" w:cs="宋体"/>
          <w:color w:val="000000"/>
        </w:rPr>
        <w:t>是三软</w:t>
      </w:r>
      <w:r>
        <w:rPr>
          <w:rFonts w:cs="宋体"/>
          <w:color w:val="000000"/>
        </w:rPr>
        <w:t>煤层</w:t>
      </w:r>
      <w:r>
        <w:rPr>
          <w:rFonts w:hint="eastAsia" w:cs="宋体"/>
          <w:color w:val="000000"/>
        </w:rPr>
        <w:t>锚网支护的技术关键。</w:t>
      </w:r>
    </w:p>
    <w:p>
      <w:pPr>
        <w:spacing w:line="360" w:lineRule="exact"/>
        <w:ind w:firstLine="420" w:firstLineChars="200"/>
        <w:rPr>
          <w:color w:val="000000"/>
        </w:rPr>
      </w:pPr>
      <w:r>
        <w:rPr>
          <w:rFonts w:hint="eastAsia" w:cs="宋体"/>
          <w:color w:val="000000"/>
        </w:rPr>
        <w:t>2</w:t>
      </w:r>
      <w:r>
        <w:rPr>
          <w:rFonts w:cs="宋体"/>
          <w:color w:val="000000"/>
        </w:rPr>
        <w:t>）</w:t>
      </w:r>
      <w:r>
        <w:rPr>
          <w:rFonts w:hint="eastAsia" w:cs="宋体"/>
          <w:color w:val="000000"/>
        </w:rPr>
        <w:t>“三软”</w:t>
      </w:r>
      <w:r>
        <w:rPr>
          <w:rFonts w:cs="宋体"/>
          <w:color w:val="000000"/>
        </w:rPr>
        <w:t>特厚煤层托顶煤煤巷锚网支护技术</w:t>
      </w:r>
      <w:r>
        <w:rPr>
          <w:rFonts w:hint="eastAsia" w:cs="宋体"/>
          <w:color w:val="000000"/>
        </w:rPr>
        <w:t>在</w:t>
      </w:r>
      <w:r>
        <w:rPr>
          <w:rFonts w:cs="宋体"/>
          <w:color w:val="000000"/>
        </w:rPr>
        <w:t>现场得到成功应用。</w:t>
      </w:r>
      <w:r>
        <w:rPr>
          <w:rFonts w:hint="eastAsia" w:cs="宋体"/>
          <w:color w:val="000000"/>
        </w:rPr>
        <w:t>瓦斯</w:t>
      </w:r>
      <w:r>
        <w:rPr>
          <w:rFonts w:cs="宋体"/>
          <w:color w:val="000000"/>
        </w:rPr>
        <w:t>治理过程中</w:t>
      </w:r>
      <w:r>
        <w:rPr>
          <w:rFonts w:hint="eastAsia" w:cs="宋体"/>
          <w:color w:val="000000"/>
        </w:rPr>
        <w:t>底抽巷</w:t>
      </w:r>
      <w:r>
        <w:rPr>
          <w:rFonts w:cs="宋体"/>
          <w:color w:val="000000"/>
        </w:rPr>
        <w:t>水力割缝</w:t>
      </w:r>
      <w:r>
        <w:rPr>
          <w:rFonts w:hint="eastAsia" w:cs="宋体"/>
          <w:color w:val="000000"/>
        </w:rPr>
        <w:t>泄煤</w:t>
      </w:r>
      <w:r>
        <w:rPr>
          <w:rFonts w:cs="宋体"/>
          <w:color w:val="000000"/>
        </w:rPr>
        <w:t>形成</w:t>
      </w:r>
      <w:r>
        <w:rPr>
          <w:rFonts w:hint="eastAsia" w:cs="宋体"/>
          <w:color w:val="000000"/>
        </w:rPr>
        <w:t>煤体</w:t>
      </w:r>
      <w:r>
        <w:rPr>
          <w:rFonts w:cs="宋体"/>
          <w:color w:val="000000"/>
        </w:rPr>
        <w:t>空洞等特殊</w:t>
      </w:r>
      <w:r>
        <w:rPr>
          <w:rFonts w:hint="eastAsia" w:cs="宋体"/>
          <w:color w:val="000000"/>
        </w:rPr>
        <w:t>条件下</w:t>
      </w:r>
      <w:r>
        <w:rPr>
          <w:rFonts w:cs="宋体"/>
          <w:color w:val="000000"/>
        </w:rPr>
        <w:t>的锚网支护技术还需进一步研究。</w:t>
      </w:r>
    </w:p>
    <w:p>
      <w:pPr>
        <w:spacing w:before="156" w:beforeLines="50" w:after="156" w:afterLines="50"/>
        <w:rPr>
          <w:rFonts w:eastAsia="黑体"/>
          <w:b/>
          <w:bCs/>
          <w:color w:val="000000"/>
          <w:sz w:val="28"/>
          <w:szCs w:val="28"/>
        </w:rPr>
      </w:pPr>
      <w:commentRangeStart w:id="33"/>
      <w:commentRangeStart w:id="34"/>
      <w:r>
        <w:rPr>
          <w:rFonts w:hint="eastAsia" w:eastAsia="黑体"/>
          <w:b/>
          <w:bCs/>
          <w:color w:val="000000"/>
          <w:sz w:val="28"/>
          <w:szCs w:val="28"/>
        </w:rPr>
        <w:t>参考文献：</w:t>
      </w:r>
      <w:commentRangeEnd w:id="33"/>
      <w:r>
        <w:rPr>
          <w:rStyle w:val="30"/>
        </w:rPr>
        <w:commentReference w:id="33"/>
      </w:r>
      <w:commentRangeEnd w:id="34"/>
      <w:r>
        <w:rPr>
          <w:rStyle w:val="30"/>
        </w:rPr>
        <w:commentReference w:id="34"/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王昌贤，曹代勇．河南省嵩、箕地区石炭二迭纪煤田中的滑动构造[J]．湘潭矿业学院学报，1989，4（1）：28-33．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commentRangeStart w:id="35"/>
      <w:r>
        <w:rPr>
          <w:rFonts w:hAnsi="Times New Roman"/>
          <w:color w:val="000000"/>
        </w:rPr>
        <w:t>王志荣，郎东升，刘十军，等．豫西芦店滑动构造区瓦斯地质灾害的构造控制作用[J]．煤炭学报，2006，31（5）：553-558．</w:t>
      </w:r>
      <w:commentRangeEnd w:id="35"/>
      <w:r>
        <w:rPr>
          <w:rStyle w:val="30"/>
          <w:rFonts w:hAnsi="Times New Roman"/>
        </w:rPr>
        <w:commentReference w:id="35"/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康红普，王金华，</w:t>
      </w:r>
      <w:commentRangeStart w:id="36"/>
      <w:r>
        <w:rPr>
          <w:rFonts w:hAnsi="Times New Roman"/>
          <w:color w:val="000000"/>
        </w:rPr>
        <w:t>林 健</w:t>
      </w:r>
      <w:commentRangeEnd w:id="36"/>
      <w:r>
        <w:rPr>
          <w:rStyle w:val="30"/>
          <w:rFonts w:hAnsi="Times New Roman"/>
        </w:rPr>
        <w:commentReference w:id="36"/>
      </w:r>
      <w:r>
        <w:rPr>
          <w:rFonts w:hAnsi="Times New Roman"/>
          <w:color w:val="000000"/>
        </w:rPr>
        <w:t>．高预应力强力支护系统及其在深部巷道中的应用[J]．煤炭学报，2007，32（12）：1233-1238．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张 农，高明仕．煤巷高强预应力锚杆支护技术与应用[J]．中国矿业大学学报，2004，33</w:t>
      </w:r>
      <w:commentRangeStart w:id="37"/>
      <w:r>
        <w:rPr>
          <w:rFonts w:hAnsi="Times New Roman"/>
          <w:color w:val="000000"/>
        </w:rPr>
        <w:t>（5）</w:t>
      </w:r>
      <w:commentRangeEnd w:id="37"/>
      <w:r>
        <w:rPr>
          <w:rStyle w:val="30"/>
          <w:rFonts w:hAnsi="Times New Roman"/>
        </w:rPr>
        <w:commentReference w:id="37"/>
      </w:r>
      <w:r>
        <w:rPr>
          <w:rFonts w:hAnsi="Times New Roman"/>
          <w:color w:val="000000"/>
        </w:rPr>
        <w:t>：524-527．</w:t>
      </w:r>
    </w:p>
    <w:p>
      <w:pPr>
        <w:pStyle w:val="70"/>
        <w:numPr>
          <w:ilvl w:val="0"/>
          <w:numId w:val="2"/>
        </w:numPr>
        <w:spacing w:line="360" w:lineRule="exact"/>
        <w:ind w:firstLineChars="0"/>
        <w:rPr>
          <w:color w:val="000000"/>
          <w:sz w:val="18"/>
          <w:szCs w:val="18"/>
        </w:rPr>
      </w:pPr>
      <w:commentRangeStart w:id="38"/>
      <w:r>
        <w:rPr>
          <w:color w:val="000000"/>
          <w:sz w:val="18"/>
          <w:szCs w:val="18"/>
        </w:rPr>
        <w:t>尹光志, 王登科, 张东明. 高应力软岩下矿井巷道支护[J].重庆大学学报(自然科学版), 2007, 30(10): 87-91.</w:t>
      </w:r>
      <w:commentRangeEnd w:id="38"/>
      <w:r>
        <w:rPr>
          <w:rStyle w:val="30"/>
        </w:rPr>
        <w:commentReference w:id="38"/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荆升国,鹿利恒,江静.滑动构造区厚煤层巷道锚固结构形成机制研究与应用[J].采矿与安全工程学报,2017,34 (5):928-932.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FF0000"/>
        </w:rPr>
      </w:pPr>
      <w:r>
        <w:rPr>
          <w:rFonts w:hAnsi="Times New Roman"/>
          <w:color w:val="FF0000"/>
          <w:shd w:val="clear" w:color="auto" w:fill="FFFFFF"/>
        </w:rPr>
        <w:t>郭 涛,李鹏飞,周小龙.“三软”厚煤层回采巷道锚网索梁联合支护技术[J].煤炭工程,2017,49(4):39-42.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333333"/>
          <w:shd w:val="clear" w:color="auto" w:fill="FFFFFF"/>
        </w:rPr>
        <w:t>付建华,韩小冰,李红行,张建甫,丁喜明.非对称锚网支护技术在窄煤柱沿空掘巷中的应用[J].煤矿安全,2017,48(5):155-158.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FF0000"/>
        </w:rPr>
      </w:pPr>
      <w:r>
        <w:rPr>
          <w:rFonts w:hAnsi="Times New Roman"/>
          <w:color w:val="FF0000"/>
          <w:shd w:val="clear" w:color="auto" w:fill="FFFFFF"/>
        </w:rPr>
        <w:t>周炜光,史节涛,蔺增元.富水条件三软煤层沿空巷道支护设计优化[J].煤炭工程,2018,50(7):38-41.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孙志海. 赵家寨煤矿“三软”煤层沿空掘巷围岩控制技术研究[D].</w:t>
      </w:r>
      <w:commentRangeStart w:id="39"/>
      <w:r>
        <w:rPr>
          <w:rFonts w:hAnsi="Times New Roman"/>
          <w:color w:val="000000"/>
        </w:rPr>
        <w:t>徐州：</w:t>
      </w:r>
      <w:commentRangeEnd w:id="39"/>
      <w:r>
        <w:rPr>
          <w:rStyle w:val="30"/>
          <w:rFonts w:hAnsi="Times New Roman"/>
        </w:rPr>
        <w:commentReference w:id="39"/>
      </w:r>
      <w:r>
        <w:rPr>
          <w:rFonts w:hAnsi="Times New Roman"/>
          <w:color w:val="000000"/>
        </w:rPr>
        <w:t>中国矿业大学,2018.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FF0000"/>
        </w:rPr>
      </w:pPr>
      <w:r>
        <w:rPr>
          <w:rFonts w:hAnsi="Times New Roman"/>
          <w:color w:val="FF0000"/>
          <w:shd w:val="clear" w:color="auto" w:fill="FFFFFF"/>
        </w:rPr>
        <w:t>李琰庆,王传兵,杨永刚,等.淮南矿区深部煤巷变形破坏机制及支护技术[J].煤炭工程,2018,50(10):14-18.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bookmarkStart w:id="2" w:name="_Hlk92644298"/>
      <w:r>
        <w:rPr>
          <w:rFonts w:hAnsi="Times New Roman"/>
          <w:color w:val="000000"/>
        </w:rPr>
        <w:t>刘传喜. 中国豫西煤田滑动构造特征浅析[C]</w:t>
      </w:r>
      <w:r>
        <w:rPr>
          <w:rFonts w:hint="eastAsia" w:hAnsi="Times New Roman"/>
          <w:color w:val="000000"/>
        </w:rPr>
        <w:t>/</w:t>
      </w:r>
      <w:r>
        <w:rPr>
          <w:rFonts w:hAnsi="Times New Roman"/>
          <w:color w:val="000000"/>
        </w:rPr>
        <w:t>/河南地球科学通报2008年卷（上册）:河南省地质学会,2008:68-75.</w:t>
      </w:r>
    </w:p>
    <w:bookmarkEnd w:id="2"/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杨建辉,尚岳全,祝江鸿.层状结构顶板锚杆组合拱梁支护机制理论模型分析[J].岩石力学与工程学报,2007(S2):4215-4220.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王金华．我国煤巷锚杆支护技术的新发展[J]．煤炭学报，2007，32（2）：113-118．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康红普.煤巷锚杆支护成套技术研究与实践[J].岩石力学与工程学报,2005(21):161-166.</w:t>
      </w:r>
    </w:p>
    <w:p>
      <w:pPr>
        <w:pStyle w:val="52"/>
        <w:numPr>
          <w:ilvl w:val="0"/>
          <w:numId w:val="2"/>
        </w:numPr>
        <w:spacing w:line="360" w:lineRule="exact"/>
        <w:rPr>
          <w:rFonts w:hAnsi="Times New Roman"/>
          <w:color w:val="000000"/>
        </w:rPr>
      </w:pPr>
      <w:r>
        <w:rPr>
          <w:rFonts w:hAnsi="Times New Roman"/>
          <w:color w:val="000000"/>
        </w:rPr>
        <w:t>姜彦军,冉 辉,王 隆.赵家寨矿“三软”煤层巷道锚网支护技术研究[J].煤炭技术,2016,35(6):28-30.</w:t>
      </w:r>
    </w:p>
    <w:p>
      <w:pPr>
        <w:rPr>
          <w:b/>
          <w:bCs/>
          <w:color w:val="FF0000"/>
          <w:sz w:val="28"/>
          <w:szCs w:val="28"/>
        </w:rPr>
      </w:pP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附录（一）：不同类型文献格式</w:t>
      </w:r>
    </w:p>
    <w:p>
      <w:pPr>
        <w:rPr>
          <w:b/>
          <w:bCs/>
          <w:color w:val="FF0000"/>
        </w:rPr>
      </w:pPr>
      <w:r>
        <w:rPr>
          <w:rFonts w:hint="eastAsia"/>
          <w:b/>
          <w:bCs/>
        </w:rPr>
        <w:t>务必严格按照示例要求修改检查参考文献格式，并注意标红处的细节要求。</w:t>
      </w:r>
      <w:r>
        <w:rPr>
          <w:rStyle w:val="74"/>
          <w:b/>
          <w:bCs/>
          <w:color w:val="FF0000"/>
        </w:rPr>
        <w:t>（对</w:t>
      </w:r>
      <w:r>
        <w:rPr>
          <w:rStyle w:val="74"/>
          <w:b/>
          <w:bCs/>
          <w:color w:val="FF0000"/>
          <w:u w:val="single"/>
        </w:rPr>
        <w:t>非英文期刊</w:t>
      </w:r>
      <w:r>
        <w:rPr>
          <w:rStyle w:val="74"/>
          <w:b/>
          <w:bCs/>
          <w:color w:val="FF0000"/>
        </w:rPr>
        <w:t>文献，</w:t>
      </w:r>
      <w:r>
        <w:rPr>
          <w:rStyle w:val="74"/>
          <w:rFonts w:hint="eastAsia"/>
          <w:b/>
          <w:bCs/>
          <w:color w:val="FF0000"/>
        </w:rPr>
        <w:t>应</w:t>
      </w:r>
      <w:r>
        <w:rPr>
          <w:rStyle w:val="74"/>
          <w:b/>
          <w:bCs/>
          <w:color w:val="FF0000"/>
        </w:rPr>
        <w:t>先列出原文，再另起</w:t>
      </w:r>
      <w:r>
        <w:rPr>
          <w:rStyle w:val="74"/>
          <w:rFonts w:hint="eastAsia"/>
          <w:b/>
          <w:bCs/>
          <w:color w:val="FF0000"/>
        </w:rPr>
        <w:t>一段翻译成</w:t>
      </w:r>
      <w:r>
        <w:rPr>
          <w:rStyle w:val="74"/>
          <w:b/>
          <w:bCs/>
          <w:color w:val="FF0000"/>
        </w:rPr>
        <w:t>英文，</w:t>
      </w:r>
      <w:r>
        <w:rPr>
          <w:rStyle w:val="74"/>
          <w:rFonts w:hint="eastAsia"/>
          <w:b/>
          <w:bCs/>
          <w:color w:val="FF0000"/>
        </w:rPr>
        <w:t>具体要求</w:t>
      </w:r>
      <w:r>
        <w:rPr>
          <w:rStyle w:val="74"/>
          <w:b/>
          <w:bCs/>
          <w:color w:val="FF0000"/>
        </w:rPr>
        <w:t>参见</w:t>
      </w:r>
      <w:r>
        <w:rPr>
          <w:rStyle w:val="74"/>
          <w:rFonts w:hint="eastAsia"/>
          <w:b/>
          <w:bCs/>
          <w:color w:val="FF0000"/>
        </w:rPr>
        <w:t>第二条及其注释</w:t>
      </w:r>
      <w:r>
        <w:rPr>
          <w:rStyle w:val="74"/>
          <w:b/>
          <w:bCs/>
          <w:color w:val="FF0000"/>
        </w:rPr>
        <w:t>）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专著：</w:t>
      </w:r>
      <w:r>
        <w:rPr>
          <w:rFonts w:hint="eastAsia"/>
        </w:rPr>
        <w:t>[序号]作者名</w:t>
      </w:r>
      <w:r>
        <w:rPr>
          <w:rFonts w:hint="eastAsia"/>
          <w:color w:val="FF0000"/>
        </w:rPr>
        <w:t>.</w:t>
      </w:r>
      <w:r>
        <w:rPr>
          <w:rFonts w:hint="eastAsia"/>
        </w:rPr>
        <w:t>书名</w:t>
      </w:r>
      <w:r>
        <w:rPr>
          <w:rFonts w:hint="eastAsia"/>
          <w:color w:val="FF0000"/>
        </w:rPr>
        <w:t>.</w:t>
      </w:r>
      <w:r>
        <w:rPr>
          <w:rFonts w:hint="eastAsia"/>
        </w:rPr>
        <w:t>版本[M]</w:t>
      </w:r>
      <w:r>
        <w:rPr>
          <w:rFonts w:hint="eastAsia"/>
          <w:color w:val="FF0000"/>
        </w:rPr>
        <w:t>.</w:t>
      </w:r>
      <w:r>
        <w:rPr>
          <w:rFonts w:hint="eastAsia"/>
        </w:rPr>
        <w:t>出版地</w:t>
      </w:r>
      <w:r>
        <w:rPr>
          <w:rFonts w:hint="eastAsia"/>
          <w:color w:val="FF0000"/>
        </w:rPr>
        <w:t>：</w:t>
      </w:r>
      <w:r>
        <w:rPr>
          <w:rFonts w:hint="eastAsia"/>
        </w:rPr>
        <w:t>出版者</w:t>
      </w:r>
      <w:r>
        <w:rPr>
          <w:rFonts w:hint="eastAsia"/>
          <w:color w:val="FF0000"/>
        </w:rPr>
        <w:t>，</w:t>
      </w:r>
      <w:r>
        <w:rPr>
          <w:rFonts w:hint="eastAsia"/>
        </w:rPr>
        <w:t>出版年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1]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徐芝纶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弹性力学[M]</w:t>
      </w:r>
      <w:r>
        <w:rPr>
          <w:rFonts w:hint="eastAsia"/>
          <w:b/>
          <w:bCs/>
          <w:color w:val="FF0000"/>
        </w:rPr>
        <w:t>.北京：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高等教育出版社</w:t>
      </w:r>
      <w:r>
        <w:rPr>
          <w:rFonts w:hint="eastAsia"/>
          <w:b/>
          <w:bCs/>
          <w:color w:val="FF0000"/>
        </w:rPr>
        <w:t>，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2016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期刊文章：</w:t>
      </w:r>
      <w:r>
        <w:rPr>
          <w:rFonts w:hint="eastAsia"/>
        </w:rPr>
        <w:t>[序号]作者名</w:t>
      </w:r>
      <w:r>
        <w:rPr>
          <w:rFonts w:hint="eastAsia"/>
          <w:color w:val="FF0000"/>
        </w:rPr>
        <w:t>.</w:t>
      </w:r>
      <w:r>
        <w:rPr>
          <w:rFonts w:hint="eastAsia"/>
        </w:rPr>
        <w:t>论文题目[J]</w:t>
      </w:r>
      <w:r>
        <w:rPr>
          <w:rFonts w:hint="eastAsia"/>
          <w:color w:val="FF0000"/>
        </w:rPr>
        <w:t>.</w:t>
      </w:r>
      <w:r>
        <w:rPr>
          <w:rFonts w:hint="eastAsia"/>
        </w:rPr>
        <w:t>出版物名称</w:t>
      </w:r>
      <w:r>
        <w:rPr>
          <w:rFonts w:hint="eastAsia"/>
          <w:color w:val="FF0000"/>
        </w:rPr>
        <w:t>，</w:t>
      </w:r>
      <w:r>
        <w:rPr>
          <w:rFonts w:hint="eastAsia"/>
        </w:rPr>
        <w:t>年</w:t>
      </w:r>
      <w:r>
        <w:rPr>
          <w:rFonts w:hint="eastAsia"/>
          <w:color w:val="FF0000"/>
        </w:rPr>
        <w:t>，</w:t>
      </w:r>
      <w:r>
        <w:rPr>
          <w:rFonts w:hint="eastAsia"/>
        </w:rPr>
        <w:t>卷（期）</w:t>
      </w:r>
      <w:r>
        <w:rPr>
          <w:rFonts w:hint="eastAsia"/>
          <w:color w:val="FF0000"/>
        </w:rPr>
        <w:t>：</w:t>
      </w:r>
      <w:r>
        <w:rPr>
          <w:rFonts w:hint="eastAsia"/>
        </w:rPr>
        <w:t>起止页码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FF0000"/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2]</w:t>
      </w:r>
      <w:commentRangeStart w:id="40"/>
      <w:r>
        <w:rPr>
          <w:rFonts w:hint="eastAsia"/>
          <w:b/>
          <w:bCs/>
          <w:color w:val="FF0000"/>
        </w:rPr>
        <w:t>郭 涛,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李鹏飞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周小龙</w:t>
      </w:r>
      <w:commentRangeEnd w:id="40"/>
      <w:r>
        <w:rPr>
          <w:rStyle w:val="30"/>
        </w:rPr>
        <w:commentReference w:id="40"/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“三软”厚煤层回采巷道锚网索梁联合支护技术[J]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煤炭工程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2017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49</w:t>
      </w:r>
      <w:commentRangeStart w:id="41"/>
      <w:r>
        <w:rPr>
          <w:rFonts w:hint="eastAsia"/>
          <w:b/>
          <w:bCs/>
          <w:color w:val="FF0000"/>
        </w:rPr>
        <w:t>(4)</w:t>
      </w:r>
      <w:commentRangeEnd w:id="41"/>
      <w:r>
        <w:rPr>
          <w:rStyle w:val="30"/>
        </w:rPr>
        <w:commentReference w:id="41"/>
      </w:r>
      <w:r>
        <w:rPr>
          <w:rFonts w:hint="eastAsia"/>
          <w:b/>
          <w:bCs/>
          <w:color w:val="FF0000"/>
        </w:rPr>
        <w:t>: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39</w:t>
      </w:r>
      <w:r>
        <w:rPr>
          <w:rFonts w:hint="eastAsia"/>
          <w:b/>
          <w:bCs/>
          <w:color w:val="FF0000"/>
        </w:rPr>
        <w:t>-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42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FF0000"/>
        </w:rPr>
      </w:pPr>
      <w:commentRangeStart w:id="42"/>
      <w:r>
        <w:rPr>
          <w:rFonts w:hint="eastAsia"/>
          <w:b/>
          <w:bCs/>
          <w:color w:val="FF0000"/>
        </w:rPr>
        <w:t>G</w:t>
      </w:r>
      <w:r>
        <w:rPr>
          <w:b/>
          <w:bCs/>
          <w:color w:val="FF0000"/>
        </w:rPr>
        <w:t>UO Tao,LI Xiaopeng,ZHOU Xiaolong.</w:t>
      </w:r>
      <w:r>
        <w:rPr>
          <w:rFonts w:hint="eastAsia"/>
          <w:color w:val="FF0000"/>
        </w:rPr>
        <w:t xml:space="preserve"> </w:t>
      </w:r>
      <w:r>
        <w:rPr>
          <w:rFonts w:hint="eastAsia"/>
          <w:b/>
          <w:bCs/>
          <w:color w:val="FF0000"/>
        </w:rPr>
        <w:t>Combined support technology of bolt-mesh-cable-beam</w:t>
      </w:r>
      <w:r>
        <w:rPr>
          <w:b/>
          <w:bCs/>
          <w:color w:val="FF0000"/>
        </w:rPr>
        <w:t xml:space="preserve"> </w:t>
      </w:r>
      <w:r>
        <w:rPr>
          <w:rFonts w:hint="eastAsia"/>
          <w:b/>
          <w:bCs/>
          <w:color w:val="FF0000"/>
        </w:rPr>
        <w:t>in the three-soft thick coal seam</w:t>
      </w:r>
      <w:r>
        <w:rPr>
          <w:b/>
          <w:bCs/>
          <w:color w:val="FF0000"/>
        </w:rPr>
        <w:t>[J]</w:t>
      </w:r>
      <w:r>
        <w:rPr>
          <w:rFonts w:hint="eastAsia"/>
          <w:b/>
          <w:bCs/>
          <w:color w:val="FF0000"/>
        </w:rPr>
        <w:t>.</w:t>
      </w:r>
      <w:r>
        <w:rPr>
          <w:color w:val="FF0000"/>
        </w:rPr>
        <w:t xml:space="preserve"> </w:t>
      </w:r>
      <w:r>
        <w:rPr>
          <w:b/>
          <w:bCs/>
          <w:color w:val="FF0000"/>
        </w:rPr>
        <w:t>Coal</w:t>
      </w:r>
      <w:r>
        <w:rPr>
          <w:rFonts w:hint="eastAsia"/>
          <w:b/>
          <w:bCs/>
          <w:color w:val="FF0000"/>
        </w:rPr>
        <w:t xml:space="preserve"> </w:t>
      </w:r>
      <w:r>
        <w:rPr>
          <w:b/>
          <w:bCs/>
          <w:color w:val="FF0000"/>
        </w:rPr>
        <w:t>Engineering,</w:t>
      </w:r>
      <w:r>
        <w:rPr>
          <w:rFonts w:hint="eastAsia"/>
          <w:b/>
          <w:bCs/>
          <w:color w:val="FF0000"/>
        </w:rPr>
        <w:t xml:space="preserve"> 2017,49(4):39-42.</w:t>
      </w:r>
      <w:commentRangeEnd w:id="42"/>
      <w:r>
        <w:rPr>
          <w:rStyle w:val="30"/>
          <w:color w:val="FF0000"/>
        </w:rPr>
        <w:commentReference w:id="42"/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论文集：</w:t>
      </w:r>
      <w:r>
        <w:rPr>
          <w:rFonts w:hint="eastAsia"/>
        </w:rPr>
        <w:t>[序号]作者名</w:t>
      </w:r>
      <w:r>
        <w:rPr>
          <w:rFonts w:hint="eastAsia"/>
          <w:color w:val="FF0000"/>
        </w:rPr>
        <w:t xml:space="preserve">. </w:t>
      </w:r>
      <w:r>
        <w:rPr>
          <w:rFonts w:hint="eastAsia"/>
        </w:rPr>
        <w:t>论文题目[C]</w:t>
      </w:r>
      <w:r>
        <w:rPr>
          <w:rFonts w:hint="eastAsia"/>
          <w:color w:val="FF0000"/>
        </w:rPr>
        <w:t xml:space="preserve"> / /</w:t>
      </w:r>
      <w:r>
        <w:rPr>
          <w:rFonts w:hint="eastAsia"/>
        </w:rPr>
        <w:t>论文集名</w:t>
      </w:r>
      <w:r>
        <w:rPr>
          <w:rFonts w:hint="eastAsia"/>
          <w:color w:val="FF0000"/>
        </w:rPr>
        <w:t>.</w:t>
      </w:r>
      <w:r>
        <w:rPr>
          <w:rFonts w:hint="eastAsia"/>
        </w:rPr>
        <w:t>出版地(或会议主办地)</w:t>
      </w:r>
      <w:r>
        <w:rPr>
          <w:rFonts w:hint="eastAsia"/>
          <w:color w:val="FF0000"/>
        </w:rPr>
        <w:t>：</w:t>
      </w:r>
      <w:r>
        <w:rPr>
          <w:rFonts w:hint="eastAsia"/>
        </w:rPr>
        <w:t>出版者</w:t>
      </w:r>
      <w:r>
        <w:rPr>
          <w:rFonts w:hint="eastAsia"/>
          <w:color w:val="FF0000"/>
        </w:rPr>
        <w:t>，</w:t>
      </w:r>
      <w:r>
        <w:rPr>
          <w:rFonts w:hint="eastAsia"/>
        </w:rPr>
        <w:t>出版年</w:t>
      </w:r>
      <w:r>
        <w:rPr>
          <w:rFonts w:hint="eastAsia"/>
          <w:color w:val="FF0000"/>
        </w:rPr>
        <w:t>：</w:t>
      </w:r>
      <w:r>
        <w:rPr>
          <w:rFonts w:hint="eastAsia"/>
        </w:rPr>
        <w:t>起止页码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3]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刘传喜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中国豫西煤田滑动构造特征浅析[C]//河南地球科学通报2008年卷（上册）</w:t>
      </w:r>
      <w:r>
        <w:rPr>
          <w:rFonts w:hint="eastAsia"/>
          <w:b/>
          <w:bCs/>
          <w:color w:val="FF0000"/>
        </w:rPr>
        <w:t>: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河南省地质学会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2008</w:t>
      </w:r>
      <w:r>
        <w:rPr>
          <w:rFonts w:hint="eastAsia"/>
          <w:b/>
          <w:bCs/>
          <w:color w:val="FF0000"/>
        </w:rPr>
        <w:t>: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68</w:t>
      </w:r>
      <w:r>
        <w:rPr>
          <w:rFonts w:hint="eastAsia"/>
          <w:b/>
          <w:bCs/>
          <w:color w:val="FF0000"/>
        </w:rPr>
        <w:t>-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75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学位论文：</w:t>
      </w:r>
      <w:r>
        <w:rPr>
          <w:rFonts w:hint="eastAsia"/>
        </w:rPr>
        <w:t>[序号]作者名</w:t>
      </w:r>
      <w:r>
        <w:rPr>
          <w:rFonts w:hint="eastAsia"/>
          <w:color w:val="FF0000"/>
        </w:rPr>
        <w:t>.</w:t>
      </w:r>
      <w:r>
        <w:rPr>
          <w:rFonts w:hint="eastAsia"/>
        </w:rPr>
        <w:t>论文题名[D]</w:t>
      </w:r>
      <w:r>
        <w:rPr>
          <w:rFonts w:hint="eastAsia"/>
          <w:color w:val="FF0000"/>
        </w:rPr>
        <w:t>.</w:t>
      </w:r>
      <w:r>
        <w:rPr>
          <w:rFonts w:hint="eastAsia"/>
        </w:rPr>
        <w:t>保存地点</w:t>
      </w:r>
      <w:r>
        <w:rPr>
          <w:rFonts w:hint="eastAsia"/>
          <w:color w:val="FF0000"/>
        </w:rPr>
        <w:t>：</w:t>
      </w:r>
      <w:r>
        <w:rPr>
          <w:rFonts w:hint="eastAsia"/>
        </w:rPr>
        <w:t>保存单位</w:t>
      </w:r>
      <w:r>
        <w:rPr>
          <w:rFonts w:hint="eastAsia"/>
          <w:color w:val="FF0000"/>
        </w:rPr>
        <w:t>，</w:t>
      </w:r>
      <w:r>
        <w:rPr>
          <w:rFonts w:hint="eastAsia"/>
        </w:rPr>
        <w:t>年份</w:t>
      </w:r>
      <w:r>
        <w:rPr>
          <w:rFonts w:hint="eastAsia"/>
          <w:color w:val="FF0000"/>
        </w:rPr>
        <w:t>：</w:t>
      </w:r>
      <w:r>
        <w:rPr>
          <w:rFonts w:hint="eastAsia"/>
        </w:rPr>
        <w:t>起止页码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4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]孙志海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 xml:space="preserve"> 赵家寨煤矿“三软”煤层沿空掘巷围岩控制技术研究[D]</w:t>
      </w:r>
      <w:r>
        <w:rPr>
          <w:rFonts w:hint="eastAsia"/>
          <w:b/>
          <w:bCs/>
          <w:color w:val="FF0000"/>
        </w:rPr>
        <w:t>.徐州：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中国矿业大学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2018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专利：</w:t>
      </w:r>
      <w:r>
        <w:rPr>
          <w:rFonts w:hint="eastAsia"/>
        </w:rPr>
        <w:t>[序号]专利申请者</w:t>
      </w:r>
      <w:r>
        <w:rPr>
          <w:rFonts w:hint="eastAsia"/>
          <w:color w:val="FF0000"/>
        </w:rPr>
        <w:t>.</w:t>
      </w:r>
      <w:r>
        <w:rPr>
          <w:rFonts w:hint="eastAsia"/>
        </w:rPr>
        <w:t>专利名</w:t>
      </w:r>
      <w:r>
        <w:rPr>
          <w:rFonts w:hint="eastAsia"/>
          <w:color w:val="FF0000"/>
        </w:rPr>
        <w:t>：</w:t>
      </w:r>
      <w:r>
        <w:rPr>
          <w:rFonts w:hint="eastAsia"/>
        </w:rPr>
        <w:t>国别</w:t>
      </w:r>
      <w:r>
        <w:rPr>
          <w:rFonts w:hint="eastAsia"/>
          <w:color w:val="FF0000"/>
        </w:rPr>
        <w:t>.</w:t>
      </w:r>
      <w:r>
        <w:rPr>
          <w:rFonts w:hint="eastAsia"/>
        </w:rPr>
        <w:t>专利种类</w:t>
      </w:r>
      <w:r>
        <w:rPr>
          <w:rFonts w:hint="eastAsia"/>
          <w:color w:val="FF0000"/>
        </w:rPr>
        <w:t>.</w:t>
      </w:r>
      <w:r>
        <w:rPr>
          <w:rFonts w:hint="eastAsia"/>
        </w:rPr>
        <w:t>专利号[P]</w:t>
      </w:r>
      <w:r>
        <w:rPr>
          <w:rFonts w:hint="eastAsia"/>
          <w:color w:val="FF0000"/>
        </w:rPr>
        <w:t>.</w:t>
      </w:r>
      <w:r>
        <w:rPr>
          <w:rFonts w:hint="eastAsia"/>
        </w:rPr>
        <w:t>出版年月日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5]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黄炳香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赵兴龙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陈树亮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等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 xml:space="preserve"> 一种用于钻孔内开环槽的钻头</w:t>
      </w:r>
      <w:r>
        <w:rPr>
          <w:rFonts w:hint="eastAsia"/>
          <w:b/>
          <w:bCs/>
          <w:color w:val="FF0000"/>
        </w:rPr>
        <w:t>: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 xml:space="preserve"> 中国</w:t>
      </w:r>
      <w:r>
        <w:rPr>
          <w:rFonts w:hint="eastAsia"/>
          <w:b/>
          <w:bCs/>
          <w:color w:val="FF0000"/>
        </w:rPr>
        <w:t xml:space="preserve">, 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ZL201820841890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 [P]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 xml:space="preserve"> 2019</w:t>
      </w:r>
      <w:r>
        <w:rPr>
          <w:rFonts w:hint="eastAsia"/>
          <w:b/>
          <w:bCs/>
          <w:color w:val="FF0000"/>
        </w:rPr>
        <w:t>-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04</w:t>
      </w:r>
      <w:r>
        <w:rPr>
          <w:rFonts w:hint="eastAsia"/>
          <w:b/>
          <w:bCs/>
          <w:color w:val="FF0000"/>
        </w:rPr>
        <w:t>-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23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报告：</w:t>
      </w:r>
      <w:r>
        <w:rPr>
          <w:rFonts w:hint="eastAsia"/>
        </w:rPr>
        <w:t>[序号]作者（责任单位）</w:t>
      </w:r>
      <w:r>
        <w:rPr>
          <w:rFonts w:hint="eastAsia"/>
          <w:color w:val="FF0000"/>
        </w:rPr>
        <w:t>.</w:t>
      </w:r>
      <w:r>
        <w:rPr>
          <w:rFonts w:hint="eastAsia"/>
        </w:rPr>
        <w:t xml:space="preserve">报告名称[R] </w:t>
      </w:r>
      <w:r>
        <w:rPr>
          <w:rFonts w:hint="eastAsia"/>
          <w:color w:val="FF0000"/>
        </w:rPr>
        <w:t>.</w:t>
      </w:r>
      <w:r>
        <w:rPr>
          <w:rFonts w:hint="eastAsia"/>
        </w:rPr>
        <w:t>保存地点</w:t>
      </w:r>
      <w:r>
        <w:rPr>
          <w:rFonts w:hint="eastAsia"/>
          <w:color w:val="FF0000"/>
        </w:rPr>
        <w:t>：</w:t>
      </w:r>
      <w:r>
        <w:rPr>
          <w:rFonts w:hint="eastAsia"/>
        </w:rPr>
        <w:t>保存单位</w:t>
      </w:r>
      <w:r>
        <w:rPr>
          <w:rFonts w:hint="eastAsia"/>
          <w:color w:val="FF0000"/>
        </w:rPr>
        <w:t>，</w:t>
      </w:r>
      <w:r>
        <w:rPr>
          <w:rFonts w:hint="eastAsia"/>
        </w:rPr>
        <w:t>年份</w:t>
      </w:r>
      <w:r>
        <w:rPr>
          <w:rFonts w:hint="eastAsia"/>
          <w:color w:val="FF0000"/>
        </w:rPr>
        <w:t>：</w:t>
      </w:r>
      <w:r>
        <w:rPr>
          <w:rFonts w:hint="eastAsia"/>
        </w:rPr>
        <w:t>起止页码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FF0000"/>
        </w:rPr>
      </w:pP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</w:t>
      </w: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6]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天地科技公司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千米深井巷道锚杆支护配套技术研究与应用[R]</w:t>
      </w:r>
      <w:r>
        <w:rPr>
          <w:rFonts w:hint="eastAsia"/>
          <w:b/>
          <w:bCs/>
          <w:color w:val="FF0000"/>
        </w:rPr>
        <w:t>.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新泰</w:t>
      </w:r>
      <w:r>
        <w:rPr>
          <w:rFonts w:hint="eastAsia"/>
          <w:b/>
          <w:bCs/>
          <w:color w:val="FF0000"/>
        </w:rPr>
        <w:t>：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天地科技公司</w:t>
      </w:r>
      <w:r>
        <w:rPr>
          <w:rFonts w:hint="eastAsia"/>
          <w:b/>
          <w:bCs/>
          <w:color w:val="FF0000"/>
        </w:rPr>
        <w:t>，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2000</w:t>
      </w:r>
      <w:r>
        <w:rPr>
          <w:rFonts w:hint="eastAsia"/>
          <w:b/>
          <w:bCs/>
          <w:color w:val="FF0000"/>
        </w:rPr>
        <w:t>：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15-20</w:t>
      </w:r>
      <w:r>
        <w:rPr>
          <w:rFonts w:hint="eastAsia"/>
          <w:b/>
          <w:bCs/>
          <w:color w:val="FF0000"/>
        </w:rPr>
        <w:t>.</w:t>
      </w:r>
    </w:p>
    <w:p>
      <w:pPr>
        <w:pStyle w:val="70"/>
        <w:numPr>
          <w:ilvl w:val="0"/>
          <w:numId w:val="3"/>
        </w:numPr>
        <w:ind w:firstLineChars="0"/>
      </w:pPr>
      <w:r>
        <w:rPr>
          <w:rFonts w:hint="eastAsia"/>
          <w:b/>
          <w:bCs/>
          <w:color w:val="FF0000"/>
        </w:rPr>
        <w:t>国际、国家标准：</w:t>
      </w:r>
      <w:r>
        <w:rPr>
          <w:rFonts w:hint="eastAsia"/>
        </w:rPr>
        <w:t>[序号]标准编号</w:t>
      </w:r>
      <w:r>
        <w:rPr>
          <w:rFonts w:hint="eastAsia"/>
          <w:color w:val="FF0000"/>
        </w:rPr>
        <w:t>，</w:t>
      </w:r>
      <w:r>
        <w:rPr>
          <w:rFonts w:hint="eastAsia"/>
        </w:rPr>
        <w:t>标准名称[S]</w:t>
      </w:r>
      <w:r>
        <w:rPr>
          <w:rFonts w:hint="eastAsia"/>
          <w:color w:val="FF0000"/>
        </w:rPr>
        <w:t>.</w:t>
      </w:r>
    </w:p>
    <w:p>
      <w:pPr>
        <w:pStyle w:val="70"/>
        <w:ind w:left="420" w:firstLine="0" w:firstLineChars="0"/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</w:pPr>
      <w:r>
        <w:rPr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[7]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GB/T 7714—2005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558ED5" w:themeColor="text2" w:themeTint="99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文后参考文献著录规则[S]</w:t>
      </w:r>
      <w:r>
        <w:rPr>
          <w:rFonts w:hint="eastAsia"/>
          <w:b/>
          <w:bCs/>
          <w:color w:val="FF0000"/>
        </w:rPr>
        <w:t>.</w:t>
      </w:r>
    </w:p>
    <w:p>
      <w:pPr>
        <w:rPr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附录（二）：参考文献英文翻译方法</w:t>
      </w:r>
    </w:p>
    <w:p>
      <w:pPr>
        <w:spacing w:line="360" w:lineRule="auto"/>
        <w:rPr>
          <w:b/>
          <w:color w:val="FF0000"/>
        </w:rPr>
      </w:pPr>
      <w:r>
        <w:rPr>
          <w:rFonts w:hint="eastAsia"/>
          <w:b/>
          <w:color w:val="FF0000"/>
        </w:rPr>
        <w:t>（1）</w:t>
      </w:r>
      <w:r>
        <w:rPr>
          <w:b/>
          <w:color w:val="FF0000"/>
        </w:rPr>
        <w:t>从知网、万方等数据库或</w:t>
      </w:r>
      <w:r>
        <w:rPr>
          <w:rFonts w:hint="eastAsia"/>
          <w:b/>
          <w:color w:val="FF0000"/>
        </w:rPr>
        <w:t>该篇文章的</w:t>
      </w:r>
      <w:r>
        <w:rPr>
          <w:b/>
          <w:color w:val="FF0000"/>
        </w:rPr>
        <w:t>期刊官网下载文章的PDF版，</w:t>
      </w:r>
      <w:r>
        <w:rPr>
          <w:rFonts w:hint="eastAsia"/>
          <w:b/>
          <w:color w:val="FF0000"/>
        </w:rPr>
        <w:t>获取</w:t>
      </w:r>
      <w:r>
        <w:rPr>
          <w:b/>
          <w:color w:val="FF0000"/>
        </w:rPr>
        <w:t>该文章的题目</w:t>
      </w:r>
      <w:r>
        <w:rPr>
          <w:rFonts w:hint="eastAsia"/>
          <w:b/>
          <w:color w:val="FF0000"/>
        </w:rPr>
        <w:t>英文</w:t>
      </w:r>
      <w:r>
        <w:rPr>
          <w:b/>
          <w:color w:val="FF0000"/>
        </w:rPr>
        <w:t>翻译。</w:t>
      </w:r>
    </w:p>
    <w:p>
      <w:pPr>
        <w:spacing w:line="360" w:lineRule="auto"/>
        <w:rPr>
          <w:b/>
          <w:color w:val="FF0000"/>
        </w:rPr>
      </w:pPr>
      <w:r>
        <w:rPr>
          <w:rFonts w:hint="eastAsia"/>
          <w:b/>
          <w:color w:val="FF0000"/>
        </w:rPr>
        <w:t>（2）①从万方数据库获取文章的英文信息，万方官网为:</w:t>
      </w:r>
      <w:r>
        <w:rPr>
          <w:b/>
          <w:color w:val="FF0000"/>
        </w:rPr>
        <w:t>https://w.wanfangdata.com.cn/</w:t>
      </w:r>
      <w:r>
        <w:rPr>
          <w:rFonts w:hint="eastAsia"/>
          <w:b/>
          <w:color w:val="FF0000"/>
        </w:rPr>
        <w:t>。②在检索栏输入文章标题后，点击检索即可获取该篇论文的详细信息。③进入文章详细页面后，点击英文信息即可获取该篇文章题目的英文翻译。</w:t>
      </w:r>
    </w:p>
    <w:p>
      <w:pPr>
        <w:spacing w:line="360" w:lineRule="auto"/>
        <w:rPr>
          <w:b/>
          <w:color w:val="FF0000"/>
        </w:rPr>
      </w:pPr>
      <w:r>
        <w:rPr>
          <w:rFonts w:hint="eastAsia"/>
          <w:b/>
          <w:color w:val="FF0000"/>
        </w:rPr>
        <w:t>注：若文章发表时间较早（2</w:t>
      </w:r>
      <w:r>
        <w:rPr>
          <w:b/>
          <w:color w:val="FF0000"/>
        </w:rPr>
        <w:t>000</w:t>
      </w:r>
      <w:r>
        <w:rPr>
          <w:rFonts w:hint="eastAsia"/>
          <w:b/>
          <w:color w:val="FF0000"/>
        </w:rPr>
        <w:t>年前后），可能没有英文题目的翻译，建议作者更新该参考文献或自行翻译。</w:t>
      </w:r>
    </w:p>
    <w:sectPr>
      <w:headerReference r:id="rId7" w:type="default"/>
      <w:type w:val="continuous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作者" w:date="2022-01-09T12:02:00Z" w:initials="A">
    <w:p w14:paraId="20AE5AB1">
      <w:pPr>
        <w:pStyle w:val="6"/>
      </w:pPr>
      <w:r>
        <w:rPr>
          <w:rFonts w:hint="eastAsia"/>
        </w:rPr>
        <w:t>请添加省部级以上的基金项目，格式如：国家自然科学基金资助项目(5643154)。</w:t>
      </w:r>
    </w:p>
  </w:comment>
  <w:comment w:id="1" w:author="作者" w:date="2022-01-09T00:42:00Z" w:initials="A">
    <w:p w14:paraId="33EE7E24">
      <w:pPr>
        <w:pStyle w:val="6"/>
      </w:pPr>
      <w:r>
        <w:rPr>
          <w:rFonts w:hint="eastAsia"/>
          <w:b/>
        </w:rPr>
        <w:t>要求：</w:t>
      </w:r>
      <w:r>
        <w:rPr>
          <w:rFonts w:hint="eastAsia"/>
        </w:rPr>
        <w:t>“姓名，出生年份，籍贯，民族，职称，学历，职务，联系电话，联系邮箱”等信息务必填写完整；请务必填写能随时联系上作者的电话和邮箱，并采用一个邮箱。</w:t>
      </w:r>
    </w:p>
    <w:p w14:paraId="75AA52C1">
      <w:pPr>
        <w:pStyle w:val="6"/>
      </w:pPr>
      <w:r>
        <w:rPr>
          <w:rFonts w:hint="eastAsia"/>
        </w:rPr>
        <w:t xml:space="preserve">具体实例如: </w:t>
      </w:r>
      <w:r>
        <w:rPr>
          <w:rFonts w:ascii="宋体" w:hAnsi="宋体"/>
        </w:rPr>
        <w:t>XXX(19XX-)，男/女，XXX（省）XXX（市/县）人，学历、职称，现从事xxxxx,E-mail: 。</w:t>
      </w:r>
    </w:p>
    <w:p w14:paraId="7C640EF7">
      <w:pPr>
        <w:pStyle w:val="6"/>
      </w:pPr>
      <w:r>
        <w:rPr>
          <w:rFonts w:hint="eastAsia"/>
          <w:b/>
        </w:rPr>
        <w:t>格式：</w:t>
      </w:r>
      <w:r>
        <w:rPr>
          <w:rFonts w:hint="eastAsia"/>
        </w:rPr>
        <w:t>宋体，五号，左对齐。</w:t>
      </w:r>
    </w:p>
  </w:comment>
  <w:comment w:id="2" w:author="作者" w:date="2022-01-09T12:02:00Z" w:initials="A">
    <w:p w14:paraId="1B6B09CE">
      <w:pPr>
        <w:pStyle w:val="6"/>
      </w:pPr>
      <w:r>
        <w:t>请在</w:t>
      </w:r>
      <w:r>
        <w:rPr>
          <w:rFonts w:hint="eastAsia"/>
        </w:rPr>
        <w:t>以下网址中“</w:t>
      </w:r>
      <w:r>
        <w:t>TD矿业工程类</w:t>
      </w:r>
      <w:r>
        <w:rPr>
          <w:rFonts w:hint="eastAsia"/>
        </w:rPr>
        <w:t>”</w:t>
      </w:r>
      <w:r>
        <w:t>https://ztflh.xhma.com/html/26276.html</w:t>
      </w:r>
    </w:p>
    <w:p w14:paraId="2F5F4836">
      <w:pPr>
        <w:pStyle w:val="6"/>
      </w:pPr>
      <w:r>
        <w:t>查询与本文内容相符的</w:t>
      </w:r>
      <w:r>
        <w:rPr>
          <w:rFonts w:hint="eastAsia"/>
        </w:rPr>
        <w:t>中</w:t>
      </w:r>
      <w:r>
        <w:t>图分类号</w:t>
      </w:r>
      <w:r>
        <w:rPr>
          <w:rFonts w:hint="eastAsia"/>
        </w:rPr>
        <w:t>。</w:t>
      </w:r>
    </w:p>
    <w:p w14:paraId="7FF139F5">
      <w:pPr>
        <w:pStyle w:val="6"/>
      </w:pPr>
      <w:r>
        <w:rPr>
          <w:rFonts w:hint="eastAsia"/>
          <w:b/>
        </w:rPr>
        <w:t>格式：</w:t>
      </w:r>
      <w:r>
        <w:rPr>
          <w:rFonts w:hint="eastAsia"/>
        </w:rPr>
        <w:t>宋体，五号，左对齐。</w:t>
      </w:r>
    </w:p>
  </w:comment>
  <w:comment w:id="3" w:author="作者" w:date="2022-01-09T12:49:00Z" w:initials="A">
    <w:p w14:paraId="68794AF3">
      <w:pPr>
        <w:pStyle w:val="6"/>
      </w:pPr>
      <w:r>
        <w:rPr>
          <w:rFonts w:hint="eastAsia"/>
          <w:b/>
        </w:rPr>
        <w:t>要求：</w:t>
      </w:r>
      <w:r>
        <w:rPr>
          <w:rFonts w:hint="eastAsia"/>
        </w:rPr>
        <w:t>论文主题和中心内容的高度概括；全文核心内容最鲜明、最精炼的概括；一般不超过2</w:t>
      </w:r>
      <w:r>
        <w:t>5</w:t>
      </w:r>
      <w:r>
        <w:rPr>
          <w:rFonts w:hint="eastAsia"/>
        </w:rPr>
        <w:t>个汉字。</w:t>
      </w:r>
    </w:p>
    <w:p w14:paraId="465553F2">
      <w:pPr>
        <w:pStyle w:val="6"/>
      </w:pPr>
      <w:r>
        <w:rPr>
          <w:rFonts w:hint="eastAsia"/>
          <w:b/>
        </w:rPr>
        <w:t>格式：</w:t>
      </w:r>
      <w:r>
        <w:rPr>
          <w:rFonts w:hint="eastAsia"/>
        </w:rPr>
        <w:t>宋体，二号，加粗，居中。</w:t>
      </w:r>
    </w:p>
    <w:p w14:paraId="63320DF4">
      <w:pPr>
        <w:pStyle w:val="6"/>
      </w:pPr>
    </w:p>
  </w:comment>
  <w:comment w:id="5" w:author="作者" w:date="2022-01-11T10:29:00Z" w:initials="A">
    <w:p w14:paraId="02AD05D9">
      <w:pPr>
        <w:pStyle w:val="6"/>
      </w:pPr>
      <w:r>
        <w:rPr>
          <w:rFonts w:hint="eastAsia"/>
        </w:rPr>
        <w:t>姓名两个汉字时，中间空一字符。</w:t>
      </w:r>
    </w:p>
  </w:comment>
  <w:comment w:id="4" w:author="作者" w:date="2022-01-09T12:50:00Z" w:initials="A">
    <w:p w14:paraId="35EF3A06">
      <w:pPr>
        <w:pStyle w:val="6"/>
      </w:pPr>
      <w:r>
        <w:rPr>
          <w:rFonts w:hint="eastAsia"/>
          <w:b/>
        </w:rPr>
        <w:t>要求：</w:t>
      </w:r>
      <w:r>
        <w:rPr>
          <w:rFonts w:hint="eastAsia"/>
        </w:rPr>
        <w:t>作者单位应写出全称，不要写简称；作者名称和单位对应。</w:t>
      </w:r>
      <w:r>
        <w:rPr>
          <w:rFonts w:hint="eastAsia"/>
          <w:b/>
          <w:bCs/>
          <w:color w:val="FF0000"/>
        </w:rPr>
        <w:t>如有二级单位请准确到二级单位，以法人单位名称为准。</w:t>
      </w:r>
    </w:p>
    <w:p w14:paraId="6D301A08">
      <w:pPr>
        <w:pStyle w:val="6"/>
      </w:pPr>
      <w:r>
        <w:rPr>
          <w:rFonts w:hint="eastAsia"/>
          <w:b/>
        </w:rPr>
        <w:t>格式：</w:t>
      </w:r>
      <w:r>
        <w:rPr>
          <w:rFonts w:hint="eastAsia"/>
        </w:rPr>
        <w:t>楷体，四号，居中。</w:t>
      </w:r>
    </w:p>
    <w:p w14:paraId="3E432093">
      <w:pPr>
        <w:pStyle w:val="6"/>
      </w:pPr>
    </w:p>
  </w:comment>
  <w:comment w:id="6" w:author="作者" w:date="2022-01-09T12:36:00Z" w:initials="A">
    <w:p w14:paraId="509B4259">
      <w:pPr>
        <w:spacing w:line="460" w:lineRule="atLeast"/>
        <w:ind w:firstLine="422" w:firstLineChars="200"/>
        <w:jc w:val="left"/>
        <w:rPr>
          <w:rFonts w:ascii="Arial" w:hAnsi="Arial" w:cs="Arial"/>
          <w:color w:val="333333"/>
          <w:sz w:val="20"/>
          <w:szCs w:val="20"/>
        </w:rPr>
      </w:pPr>
      <w:r>
        <w:rPr>
          <w:rFonts w:hint="eastAsia"/>
          <w:b/>
        </w:rPr>
        <w:t>要求：</w:t>
      </w:r>
      <w:r>
        <w:rPr>
          <w:rFonts w:hint="eastAsia" w:ascii="Arial" w:hAnsi="Arial" w:cs="Arial"/>
          <w:color w:val="333333"/>
          <w:sz w:val="20"/>
          <w:szCs w:val="20"/>
        </w:rPr>
        <w:t>完善摘要，中英文摘要不是对文章背景的介绍，背景介绍应放在引言部分中。摘要严格按“目的、方法、结果、结论”来写，基本原则是写自己本人做的研究内容,</w:t>
      </w:r>
      <w:r>
        <w:rPr>
          <w:rFonts w:ascii="Arial" w:hAnsi="Arial" w:cs="Arial"/>
          <w:color w:val="333333"/>
          <w:sz w:val="20"/>
          <w:szCs w:val="20"/>
        </w:rPr>
        <w:t>300~500</w:t>
      </w:r>
      <w:r>
        <w:rPr>
          <w:rFonts w:hint="eastAsia" w:ascii="Arial" w:hAnsi="Arial" w:cs="Arial"/>
          <w:color w:val="333333"/>
          <w:sz w:val="20"/>
          <w:szCs w:val="20"/>
        </w:rPr>
        <w:t>字 。格式：[目的]为了……,或以……,或基于/根据……，[过程和方法]探讨/介绍/采用/提出了……，或研究了……，[结果]结果表明：……[结论]….。而且注意摘要的语言不能和正文中的“引言”、“结论”、“结语”等重复。</w:t>
      </w:r>
    </w:p>
    <w:p w14:paraId="226C0077">
      <w:pPr>
        <w:spacing w:line="460" w:lineRule="atLeast"/>
        <w:ind w:firstLine="422" w:firstLineChars="200"/>
        <w:jc w:val="left"/>
      </w:pPr>
      <w:r>
        <w:rPr>
          <w:rFonts w:hint="eastAsia"/>
          <w:b/>
        </w:rPr>
        <w:t>格式：</w:t>
      </w:r>
      <w:r>
        <w:rPr>
          <w:rFonts w:hint="eastAsia"/>
        </w:rPr>
        <w:t>仿宋，五号，左对齐。</w:t>
      </w:r>
    </w:p>
  </w:comment>
  <w:comment w:id="7" w:author="作者" w:date="2024-04-28T15:05:23Z" w:initials="A">
    <w:p w14:paraId="37D3239C">
      <w:pPr>
        <w:pStyle w:val="6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物理量单位前加空格</w:t>
      </w:r>
    </w:p>
  </w:comment>
  <w:comment w:id="8" w:author="作者" w:date="2022-01-09T12:39:00Z" w:initials="A">
    <w:p w14:paraId="0C210D10">
      <w:pPr>
        <w:pStyle w:val="6"/>
      </w:pPr>
      <w:r>
        <w:rPr>
          <w:bCs/>
        </w:rPr>
        <w:t>关键词</w:t>
      </w:r>
      <w:r>
        <w:t>一般以5～8个为宜</w:t>
      </w:r>
      <w:r>
        <w:rPr>
          <w:rFonts w:hint="eastAsia"/>
        </w:rPr>
        <w:t>，请</w:t>
      </w:r>
      <w:r>
        <w:rPr>
          <w:rFonts w:hint="eastAsia"/>
          <w:color w:val="FF0000"/>
        </w:rPr>
        <w:t>务必精确</w:t>
      </w:r>
      <w:r>
        <w:rPr>
          <w:rFonts w:hint="eastAsia"/>
        </w:rPr>
        <w:t>列出可阐明稿件主要研究内容的关键词，不要列出放之四海皆准的关键词，如</w:t>
      </w:r>
      <w:r>
        <w:rPr>
          <w:rFonts w:hint="eastAsia" w:cs="AdobeHeitiStd-Regular"/>
          <w:kern w:val="0"/>
        </w:rPr>
        <w:t>研究、分析、对策措施</w:t>
      </w:r>
      <w:r>
        <w:rPr>
          <w:rFonts w:hint="eastAsia"/>
        </w:rPr>
        <w:t>、关键技术、工程实践等。</w:t>
      </w:r>
    </w:p>
  </w:comment>
  <w:comment w:id="9" w:author="作者" w:date="2022-01-09T12:53:00Z" w:initials="A">
    <w:p w14:paraId="1ECB3544">
      <w:pPr>
        <w:pStyle w:val="6"/>
        <w:rPr>
          <w:bCs/>
        </w:rPr>
      </w:pPr>
      <w:r>
        <w:rPr>
          <w:rFonts w:hint="eastAsia"/>
          <w:b/>
        </w:rPr>
        <w:t>要求：</w:t>
      </w:r>
      <w:r>
        <w:rPr>
          <w:rFonts w:hint="eastAsia"/>
          <w:bCs/>
        </w:rPr>
        <w:t>英文摘要应尽量与中文相对应（不必完全一致），应包括论文研究目的、方法、结果和具体的结论，可比中文摘要详细。摘要中首次出现缩写时应注出全称。</w:t>
      </w:r>
    </w:p>
    <w:p w14:paraId="008B6B94">
      <w:pPr>
        <w:pStyle w:val="6"/>
      </w:pPr>
      <w:r>
        <w:rPr>
          <w:rFonts w:hint="eastAsia"/>
          <w:b/>
        </w:rPr>
        <w:t>格式：</w:t>
      </w:r>
      <w:r>
        <w:rPr>
          <w:rFonts w:hint="eastAsia"/>
        </w:rPr>
        <w:t>Times New Roman字体，二号，加粗，居中。</w:t>
      </w:r>
    </w:p>
  </w:comment>
  <w:comment w:id="10" w:author="作者" w:date="2022-01-09T12:42:00Z" w:initials="A">
    <w:p w14:paraId="2AA84960">
      <w:pPr>
        <w:pStyle w:val="6"/>
        <w:rPr>
          <w:rFonts w:ascii="宋体" w:hAnsi="宋体"/>
        </w:rPr>
      </w:pPr>
      <w:r>
        <w:rPr>
          <w:rFonts w:hint="eastAsia"/>
        </w:rPr>
        <w:t>作者姓和作者名字中间采用空格隔开，姓全部大写，名的首字母大写，</w:t>
      </w:r>
      <w:r>
        <w:rPr>
          <w:rFonts w:ascii="宋体" w:hAnsi="宋体"/>
        </w:rPr>
        <w:t>中间“-”连接</w:t>
      </w:r>
      <w:r>
        <w:rPr>
          <w:rFonts w:hint="eastAsia"/>
        </w:rPr>
        <w:t>。如：张一三一，ZHANG San-yi；</w:t>
      </w:r>
      <w:r>
        <w:rPr>
          <w:rFonts w:hint="eastAsia" w:ascii="宋体" w:hAnsi="宋体"/>
        </w:rPr>
        <w:t xml:space="preserve"> </w:t>
      </w:r>
    </w:p>
  </w:comment>
  <w:comment w:id="11" w:author="作者" w:date="2022-01-09T12:45:00Z" w:initials="A">
    <w:p w14:paraId="79911AA8">
      <w:pPr>
        <w:pStyle w:val="6"/>
      </w:pPr>
      <w:r>
        <w:rPr>
          <w:rFonts w:hint="eastAsia"/>
          <w:b/>
        </w:rPr>
        <w:t>格式：</w:t>
      </w:r>
      <w:r>
        <w:t>Times New Roman</w:t>
      </w:r>
      <w:r>
        <w:rPr>
          <w:rFonts w:hint="eastAsia"/>
        </w:rPr>
        <w:t>字体，小五，居中，斜体。</w:t>
      </w:r>
    </w:p>
  </w:comment>
  <w:comment w:id="12" w:author="作者" w:date="2022-01-09T12:48:00Z" w:initials="A">
    <w:p w14:paraId="2D2350CD">
      <w:pPr>
        <w:pStyle w:val="6"/>
      </w:pPr>
      <w:r>
        <w:rPr>
          <w:rFonts w:hint="eastAsia"/>
          <w:b/>
        </w:rPr>
        <w:t>格式：</w:t>
      </w:r>
      <w:r>
        <w:t>Times New Roman字体，小五，</w:t>
      </w:r>
      <w:r>
        <w:rPr>
          <w:rFonts w:hint="eastAsia"/>
        </w:rPr>
        <w:t>两端对齐</w:t>
      </w:r>
      <w:r>
        <w:t>。</w:t>
      </w:r>
    </w:p>
  </w:comment>
  <w:comment w:id="13" w:author="作者" w:date="2022-01-09T14:06:00Z" w:initials="A">
    <w:p w14:paraId="2458782E">
      <w:pPr>
        <w:pStyle w:val="6"/>
      </w:pPr>
      <w:r>
        <w:rPr>
          <w:rFonts w:hint="eastAsia"/>
          <w:b/>
        </w:rPr>
        <w:t>要求：</w:t>
      </w:r>
      <w:r>
        <w:rPr>
          <w:rFonts w:hint="eastAsia"/>
          <w:b/>
          <w:color w:val="FF0000"/>
        </w:rPr>
        <w:t>引言部分不需要标注一级标题</w:t>
      </w:r>
      <w:r>
        <w:rPr>
          <w:rFonts w:hint="eastAsia"/>
          <w:bCs/>
        </w:rPr>
        <w:t>，以5</w:t>
      </w:r>
      <w:r>
        <w:rPr>
          <w:bCs/>
        </w:rPr>
        <w:t>00-</w:t>
      </w:r>
      <w:r>
        <w:rPr>
          <w:rFonts w:hint="eastAsia"/>
          <w:bCs/>
        </w:rPr>
        <w:t>800字为宜，不要插图、列表和数学公式的推导证明，以文字叙述为主；引言内容一般以文献综述或技术发展历程为主线，首先介绍论文的研究背景，其次说明当前的研究现状、已取得的成果，指出现有研究存在的不足，并比较本文与其他研究成果的不同之处，最后引出主題，说明本研究要达到的目的与意义或拟解决的问题；</w:t>
      </w:r>
      <w:r>
        <w:rPr>
          <w:rFonts w:hint="eastAsia"/>
          <w:bCs/>
          <w:color w:val="FF0000"/>
        </w:rPr>
        <w:t>引用相关参考文献时，标注一定要细化，不得笼统标出(如[1-8])</w:t>
      </w:r>
      <w:r>
        <w:rPr>
          <w:rFonts w:hint="eastAsia"/>
          <w:b/>
        </w:rPr>
        <w:t>。</w:t>
      </w:r>
      <w:r>
        <w:t>可参考《煤炭</w:t>
      </w:r>
      <w:r>
        <w:rPr>
          <w:rFonts w:hint="eastAsia"/>
        </w:rPr>
        <w:t>工程</w:t>
      </w:r>
      <w:r>
        <w:t>》期刊论文。</w:t>
      </w:r>
    </w:p>
  </w:comment>
  <w:comment w:id="14" w:author="作者" w:date="2022-01-09T14:08:00Z" w:initials="A">
    <w:p w14:paraId="772F2FAA">
      <w:pPr>
        <w:pStyle w:val="6"/>
        <w:rPr>
          <w:bCs/>
        </w:rPr>
      </w:pPr>
      <w:bookmarkStart w:id="3" w:name="_Hlk92789801"/>
      <w:r>
        <w:rPr>
          <w:rFonts w:hint="eastAsia"/>
          <w:b/>
        </w:rPr>
        <w:t>格式：</w:t>
      </w:r>
      <w:r>
        <w:rPr>
          <w:rFonts w:hint="eastAsia"/>
          <w:bCs/>
        </w:rPr>
        <w:t>正文要求宋体，五号字体，两端对齐，首行缩进2字符，固定间距</w:t>
      </w:r>
      <w:r>
        <w:rPr>
          <w:bCs/>
        </w:rPr>
        <w:t>18</w:t>
      </w:r>
      <w:r>
        <w:rPr>
          <w:rFonts w:hint="eastAsia"/>
          <w:bCs/>
        </w:rPr>
        <w:t>磅。</w:t>
      </w:r>
    </w:p>
    <w:bookmarkEnd w:id="3"/>
  </w:comment>
  <w:comment w:id="15" w:author="作者" w:date="2022-01-09T14:07:00Z" w:initials="A">
    <w:p w14:paraId="690A595E">
      <w:pPr>
        <w:pStyle w:val="6"/>
      </w:pPr>
      <w:r>
        <w:rPr>
          <w:rFonts w:ascii="宋体" w:hAnsi="宋体"/>
        </w:rPr>
        <w:t>请准确标引参考文献，我刊一般要求：</w:t>
      </w:r>
      <w:r>
        <w:rPr>
          <w:rFonts w:ascii="宋体" w:hAnsi="宋体"/>
          <w:b/>
          <w:bCs/>
          <w:color w:val="FF0000"/>
        </w:rPr>
        <w:t>单篇引用为[1]，连续两篇为[2,3]，连续三篇及以上为[4-6]</w:t>
      </w:r>
    </w:p>
  </w:comment>
  <w:comment w:id="16" w:author="作者" w:date="2022-01-09T14:07:00Z" w:initials="A">
    <w:p w14:paraId="3EDC360D">
      <w:pPr>
        <w:spacing w:line="460" w:lineRule="atLeast"/>
        <w:ind w:firstLine="422" w:firstLineChars="200"/>
        <w:jc w:val="left"/>
      </w:pPr>
      <w:r>
        <w:rPr>
          <w:rFonts w:hint="eastAsia"/>
          <w:b/>
          <w:bCs/>
        </w:rPr>
        <w:t>格式：</w:t>
      </w:r>
      <w:r>
        <w:rPr>
          <w:rFonts w:hint="eastAsia"/>
        </w:rPr>
        <w:t>一级标题要求宋体，四号，加粗，左对齐，单倍行间距，段前段后各0.5行</w:t>
      </w:r>
      <w:r>
        <w:rPr>
          <w:rFonts w:hint="eastAsia"/>
          <w:b/>
        </w:rPr>
        <w:t>。</w:t>
      </w:r>
    </w:p>
  </w:comment>
  <w:comment w:id="17" w:author="作者" w:date="2022-01-09T14:10:00Z" w:initials="A">
    <w:p w14:paraId="1FD76918">
      <w:pPr>
        <w:pStyle w:val="6"/>
        <w:spacing w:after="156" w:afterLines="50"/>
      </w:pPr>
      <w:r>
        <w:rPr>
          <w:rFonts w:hint="eastAsia"/>
          <w:b/>
          <w:bCs/>
        </w:rPr>
        <w:t>格式：</w:t>
      </w:r>
      <w:r>
        <w:rPr>
          <w:rFonts w:hint="eastAsia"/>
        </w:rPr>
        <w:t>二级标题要求宋体，小四，加粗，左对齐，单倍行间距，段后0.5行</w:t>
      </w:r>
      <w:r>
        <w:rPr>
          <w:rFonts w:hint="eastAsia"/>
          <w:b/>
        </w:rPr>
        <w:t>。</w:t>
      </w:r>
    </w:p>
  </w:comment>
  <w:comment w:id="18" w:author="作者" w:date="2022-01-09T14:12:00Z" w:initials="A">
    <w:p w14:paraId="1C7C10F4">
      <w:pPr>
        <w:pStyle w:val="6"/>
        <w:spacing w:after="156" w:afterLines="50"/>
      </w:pPr>
      <w:r>
        <w:rPr>
          <w:rFonts w:hint="eastAsia"/>
          <w:b/>
          <w:bCs/>
        </w:rPr>
        <w:t>格式：</w:t>
      </w:r>
      <w:r>
        <w:rPr>
          <w:rFonts w:hint="eastAsia"/>
        </w:rPr>
        <w:t>三级标题要求宋体，五号，左对齐，固定行间距1</w:t>
      </w:r>
      <w:r>
        <w:t>8</w:t>
      </w:r>
      <w:r>
        <w:rPr>
          <w:rFonts w:hint="eastAsia"/>
        </w:rPr>
        <w:t>磅</w:t>
      </w:r>
      <w:r>
        <w:rPr>
          <w:rFonts w:hint="eastAsia"/>
          <w:b/>
        </w:rPr>
        <w:t>。</w:t>
      </w:r>
    </w:p>
  </w:comment>
  <w:comment w:id="19" w:author="作者" w:date="2022-01-11T10:33:00Z" w:initials="A">
    <w:p w14:paraId="173A4078">
      <w:pPr>
        <w:pStyle w:val="6"/>
        <w:rPr>
          <w:bCs/>
        </w:rPr>
      </w:pPr>
      <w:r>
        <w:rPr>
          <w:rFonts w:hint="eastAsia"/>
          <w:b/>
        </w:rPr>
        <w:t>格式：</w:t>
      </w:r>
      <w:r>
        <w:rPr>
          <w:rFonts w:hint="eastAsia"/>
          <w:bCs/>
        </w:rPr>
        <w:t>正文要求宋体，五号字体，两端对齐，首行缩进2字符，固定间距</w:t>
      </w:r>
      <w:r>
        <w:rPr>
          <w:bCs/>
        </w:rPr>
        <w:t>18</w:t>
      </w:r>
      <w:r>
        <w:rPr>
          <w:rFonts w:hint="eastAsia"/>
          <w:bCs/>
        </w:rPr>
        <w:t>磅。</w:t>
      </w:r>
    </w:p>
  </w:comment>
  <w:comment w:id="20" w:author="作者" w:date="2022-01-09T15:53:00Z" w:initials="A">
    <w:p w14:paraId="6304477F">
      <w:pPr>
        <w:pStyle w:val="6"/>
      </w:pPr>
      <w:r>
        <w:rPr>
          <w:rFonts w:hint="eastAsia"/>
          <w:b/>
          <w:bCs/>
        </w:rPr>
        <w:t>要求：</w:t>
      </w:r>
      <w:r>
        <w:rPr>
          <w:rFonts w:hint="eastAsia"/>
        </w:rPr>
        <w:t>①需要在正文中指明图说，具体格式为“XXX如图1所示”，例：</w:t>
      </w:r>
      <w:r>
        <w:rPr>
          <w:rFonts w:hint="eastAsia"/>
          <w:b/>
          <w:bCs/>
          <w:color w:val="FF0000"/>
        </w:rPr>
        <w:t>矿区</w:t>
      </w:r>
      <w:r>
        <w:rPr>
          <w:rFonts w:hint="eastAsia"/>
          <w:b/>
          <w:bCs/>
          <w:color w:val="FF0000"/>
          <w:lang w:val="en-US" w:eastAsia="zh-CN"/>
        </w:rPr>
        <w:t>地层情况</w:t>
      </w:r>
      <w:r>
        <w:rPr>
          <w:rFonts w:hint="eastAsia"/>
          <w:b/>
          <w:bCs/>
          <w:color w:val="FF0000"/>
        </w:rPr>
        <w:t>如图1所示</w:t>
      </w:r>
      <w:r>
        <w:rPr>
          <w:rFonts w:hint="eastAsia"/>
        </w:rPr>
        <w:t>。</w:t>
      </w:r>
    </w:p>
    <w:p w14:paraId="4F7E6DAC">
      <w:pPr>
        <w:pStyle w:val="6"/>
      </w:pPr>
      <w:bookmarkStart w:id="4" w:name="_GoBack"/>
      <w:r>
        <w:rPr>
          <w:rFonts w:hint="eastAsia"/>
        </w:rPr>
        <w:t>②需要在正文中指明表说，且表名尽量与文中保持一致，具体格式为“XXX见表1”，例：</w:t>
      </w:r>
      <w:r>
        <w:rPr>
          <w:rFonts w:hint="eastAsia"/>
          <w:b/>
          <w:bCs/>
          <w:color w:val="FF0000"/>
        </w:rPr>
        <w:t>各层的岩石物理力学参数见1</w:t>
      </w:r>
      <w:r>
        <w:rPr>
          <w:rFonts w:hint="eastAsia"/>
        </w:rPr>
        <w:t>。</w:t>
      </w:r>
    </w:p>
    <w:bookmarkEnd w:id="4"/>
  </w:comment>
  <w:comment w:id="21" w:author="作者" w:date="2022-01-09T15:58:00Z" w:initials="A">
    <w:p w14:paraId="57B5185C">
      <w:pPr>
        <w:pStyle w:val="6"/>
      </w:pPr>
      <w:r>
        <w:rPr>
          <w:rFonts w:hint="eastAsia"/>
          <w:b/>
          <w:bCs/>
          <w:color w:val="FF0000"/>
        </w:rPr>
        <w:t>我刊图名、表名需要中英文对照。</w:t>
      </w:r>
    </w:p>
    <w:p w14:paraId="0F805D02">
      <w:pPr>
        <w:pStyle w:val="6"/>
      </w:pPr>
      <w:r>
        <w:rPr>
          <w:rFonts w:hint="eastAsia"/>
          <w:b/>
          <w:bCs/>
        </w:rPr>
        <w:t>格式：</w:t>
      </w:r>
      <w:r>
        <w:rPr>
          <w:rFonts w:hint="eastAsia"/>
        </w:rPr>
        <w:t>宋体，小五，居中。</w:t>
      </w:r>
    </w:p>
  </w:comment>
  <w:comment w:id="22" w:author="作者" w:date="2023-11-28T17:46:00Z" w:initials="A">
    <w:p w14:paraId="0CFB4B82">
      <w:pPr>
        <w:pStyle w:val="6"/>
      </w:pPr>
      <w:r>
        <w:rPr>
          <w:rFonts w:hint="eastAsia"/>
        </w:rPr>
        <w:t>图和表需要对应的英文翻译名，图和表中的标注用中文。</w:t>
      </w:r>
    </w:p>
    <w:p w14:paraId="36B65845">
      <w:pPr>
        <w:pStyle w:val="6"/>
      </w:pPr>
      <w:r>
        <w:rPr>
          <w:rFonts w:hint="eastAsia"/>
        </w:rPr>
        <w:t>图名尽量与文中保持一致，首字母大写，格式为times new roman，小五，居中。</w:t>
      </w:r>
    </w:p>
    <w:p w14:paraId="64954C22">
      <w:pPr>
        <w:pStyle w:val="6"/>
      </w:pPr>
    </w:p>
  </w:comment>
  <w:comment w:id="23" w:author="作者" w:date="2022-01-09T15:49:00Z" w:initials="A">
    <w:p w14:paraId="7070104A">
      <w:pPr>
        <w:pStyle w:val="6"/>
      </w:pPr>
      <w:r>
        <w:rPr>
          <w:rFonts w:hint="eastAsia"/>
          <w:b/>
          <w:bCs/>
        </w:rPr>
        <w:t>要求：①</w:t>
      </w:r>
      <w:r>
        <w:rPr>
          <w:rFonts w:hint="eastAsia"/>
        </w:rPr>
        <w:t>公式中的变量规范统一采用斜体，下标如果为变量也采用斜体，如果非变量，仅是区分变量，下标采用正题。②公式务必为可编辑格式，请不要采用图片格式。③公式的每个变量符号均需要在第一次出现时说明其物理含义，一个字母只能代表一个意思，一个意思只能用一个字母代表，并标明单位。这一条很重要，请认真仔细阅读全文，按要求修改。④主要注意细节见已标红，请参考。</w:t>
      </w:r>
    </w:p>
  </w:comment>
  <w:comment w:id="24" w:author="作者" w:date="2022-01-09T15:59:00Z" w:initials="A">
    <w:p w14:paraId="7CF61EDA">
      <w:pPr>
        <w:pStyle w:val="6"/>
      </w:pPr>
      <w:r>
        <w:rPr>
          <w:rFonts w:hint="eastAsia"/>
        </w:rPr>
        <w:t>公式后另起一段注释各变量的物理含义。</w:t>
      </w:r>
    </w:p>
  </w:comment>
  <w:comment w:id="25" w:author="作者" w:date="2022-01-09T16:02:00Z" w:initials="A">
    <w:p w14:paraId="2C5E64C6">
      <w:pPr>
        <w:pStyle w:val="6"/>
      </w:pPr>
      <w:r>
        <w:rPr>
          <w:rFonts w:hint="eastAsia"/>
        </w:rPr>
        <w:t>标明各物理量的单位</w:t>
      </w:r>
    </w:p>
  </w:comment>
  <w:comment w:id="26" w:author="作者" w:date="2022-01-09T16:15:00Z" w:initials="A">
    <w:p w14:paraId="0DEB082D">
      <w:pPr>
        <w:pStyle w:val="6"/>
      </w:pPr>
      <w:r>
        <w:rPr>
          <w:rFonts w:hint="eastAsia"/>
        </w:rPr>
        <w:t>为防止产生歧义，各参数均需写明单位。</w:t>
      </w:r>
    </w:p>
  </w:comment>
  <w:comment w:id="27" w:author="作者" w:date="2022-01-09T16:16:00Z" w:initials="A">
    <w:p w14:paraId="00535E62">
      <w:pPr>
        <w:pStyle w:val="6"/>
      </w:pPr>
      <w:r>
        <w:rPr>
          <w:rFonts w:hint="eastAsia"/>
        </w:rPr>
        <w:t>注意单位的正确写法，注意单位符号的大小写问题，如“千牛”应写作“</w:t>
      </w:r>
      <w:r>
        <w:rPr>
          <w:color w:val="FF0000"/>
        </w:rPr>
        <w:t>kN</w:t>
      </w:r>
      <w:r>
        <w:rPr>
          <w:rFonts w:hint="eastAsia"/>
        </w:rPr>
        <w:t>”而不是“</w:t>
      </w:r>
      <w:r>
        <w:rPr>
          <w:rFonts w:hint="eastAsia"/>
          <w:color w:val="FF0000"/>
        </w:rPr>
        <w:t>KN</w:t>
      </w:r>
      <w:r>
        <w:rPr>
          <w:rFonts w:hint="eastAsia"/>
        </w:rPr>
        <w:t>”，兆帕应写作“</w:t>
      </w:r>
      <w:r>
        <w:rPr>
          <w:rFonts w:hint="eastAsia"/>
          <w:color w:val="FF0000"/>
        </w:rPr>
        <w:t>MPa</w:t>
      </w:r>
      <w:r>
        <w:rPr>
          <w:rFonts w:hint="eastAsia"/>
        </w:rPr>
        <w:t>”而非“</w:t>
      </w:r>
      <w:r>
        <w:rPr>
          <w:rFonts w:hint="eastAsia"/>
          <w:color w:val="FF0000"/>
        </w:rPr>
        <w:t>Mpa</w:t>
      </w:r>
      <w:r>
        <w:rPr>
          <w:rFonts w:hint="eastAsia"/>
        </w:rPr>
        <w:t>”；</w:t>
      </w:r>
    </w:p>
  </w:comment>
  <w:comment w:id="28" w:author="作者" w:date="2022-01-09T16:21:00Z" w:initials="A">
    <w:p w14:paraId="787F7730">
      <w:pPr>
        <w:pStyle w:val="6"/>
      </w:pPr>
      <w:r>
        <w:rPr>
          <w:rFonts w:hint="eastAsia"/>
        </w:rPr>
        <w:t>数值后必须写明单位</w:t>
      </w:r>
    </w:p>
  </w:comment>
  <w:comment w:id="29" w:author="作者" w:date="2022-01-09T16:23:00Z" w:initials="A">
    <w:p w14:paraId="57480F12">
      <w:pPr>
        <w:pStyle w:val="6"/>
      </w:pPr>
      <w:r>
        <w:rPr>
          <w:rFonts w:hint="eastAsia"/>
          <w:b/>
          <w:bCs/>
          <w:color w:val="FF0000"/>
        </w:rPr>
        <w:t>注意：</w:t>
      </w:r>
      <w:r>
        <w:rPr>
          <w:rFonts w:hint="eastAsia"/>
        </w:rPr>
        <w:t>图中各数值单位相同时，为简化图中内容，在图名中标注单位即可。</w:t>
      </w:r>
    </w:p>
  </w:comment>
  <w:comment w:id="30" w:author="作者" w:date="2022-01-09T16:26:00Z" w:initials="A">
    <w:p w14:paraId="0E1C0885">
      <w:pPr>
        <w:rPr>
          <w:b/>
        </w:rPr>
      </w:pPr>
      <w:r>
        <w:rPr>
          <w:rFonts w:hint="eastAsia"/>
          <w:b/>
        </w:rPr>
        <w:t>左图为作者投稿时原图，右图为按我刊要求修改后正式发表的成图。</w:t>
      </w:r>
    </w:p>
    <w:p w14:paraId="11A44CA2">
      <w:pPr>
        <w:rPr>
          <w:bCs/>
        </w:rPr>
      </w:pPr>
      <w:r>
        <w:rPr>
          <w:rFonts w:hint="eastAsia"/>
          <w:b/>
        </w:rPr>
        <w:t>要求：</w:t>
      </w:r>
      <w:r>
        <w:rPr>
          <w:rFonts w:hint="eastAsia"/>
          <w:bCs/>
        </w:rPr>
        <w:t>①所有曲线图、设备结构图、流程图，务必保证图形为矢量图，即可以编辑的图形，而非图片形式。②</w:t>
      </w:r>
      <w:r>
        <w:rPr>
          <w:rFonts w:hint="eastAsia"/>
          <w:b/>
          <w:color w:val="FF0000"/>
        </w:rPr>
        <w:t>去掉图中点线、去掉底色</w:t>
      </w:r>
      <w:r>
        <w:rPr>
          <w:rFonts w:hint="eastAsia"/>
          <w:bCs/>
        </w:rPr>
        <w:t>；③如果有多条曲线，请以指示线形式或者图例形式区分。④坐标图务必保证横纵坐标名称、单位完整，且数值均等分布。</w:t>
      </w:r>
    </w:p>
    <w:p w14:paraId="52F2358D">
      <w:pPr>
        <w:pStyle w:val="6"/>
      </w:pPr>
    </w:p>
  </w:comment>
  <w:comment w:id="31" w:author="作者" w:date="2022-01-09T16:42:00Z" w:initials="A">
    <w:p w14:paraId="7ABB7992">
      <w:pPr>
        <w:rPr>
          <w:b/>
        </w:rPr>
      </w:pPr>
      <w:r>
        <w:rPr>
          <w:rFonts w:hint="eastAsia"/>
          <w:b/>
        </w:rPr>
        <w:t>左图为作者投稿时原图，右图为按我刊要求修改后正式发表的成图。</w:t>
      </w:r>
    </w:p>
  </w:comment>
  <w:comment w:id="32" w:author="作者" w:date="2022-01-09T16:13:00Z" w:initials="A">
    <w:p w14:paraId="3F9C03DA">
      <w:pPr>
        <w:pStyle w:val="6"/>
      </w:pPr>
      <w:r>
        <w:rPr>
          <w:rFonts w:hint="eastAsia"/>
        </w:rPr>
        <w:t>“结论”“结语”中间空一个字符。</w:t>
      </w:r>
    </w:p>
  </w:comment>
  <w:comment w:id="33" w:author="作者" w:date="2022-01-09T16:44:00Z" w:initials="A">
    <w:p w14:paraId="37945023">
      <w:pPr>
        <w:pStyle w:val="6"/>
      </w:pPr>
      <w:r>
        <w:rPr>
          <w:rFonts w:hint="eastAsia"/>
          <w:b/>
          <w:bCs/>
          <w:color w:val="000000"/>
        </w:rPr>
        <w:t>要求:</w:t>
      </w:r>
      <w:r>
        <w:rPr>
          <w:rFonts w:hint="eastAsia"/>
          <w:color w:val="000000"/>
        </w:rPr>
        <w:t>①</w:t>
      </w:r>
      <w:r>
        <w:rPr>
          <w:rFonts w:hint="eastAsia"/>
          <w:b/>
          <w:bCs/>
          <w:color w:val="FF0000"/>
        </w:rPr>
        <w:t>文后参考文献数量不少于20条(须中英文对照)</w:t>
      </w:r>
      <w:r>
        <w:rPr>
          <w:rFonts w:hint="eastAsia"/>
        </w:rPr>
        <w:t>请采用</w:t>
      </w:r>
      <w:r>
        <w:rPr>
          <w:rFonts w:hint="eastAsia"/>
          <w:b/>
          <w:bCs/>
        </w:rPr>
        <w:t>双语参考文献，</w:t>
      </w:r>
      <w:r>
        <w:rPr>
          <w:rFonts w:hint="eastAsia"/>
        </w:rPr>
        <w:t>即添加对应的英文参考文献，严格按照参考文献的格式补充文献，务必填写正确的</w:t>
      </w:r>
      <w:r>
        <w:rPr>
          <w:rFonts w:hint="eastAsia"/>
          <w:b/>
          <w:bCs/>
        </w:rPr>
        <w:t>年、卷期、页码</w:t>
      </w:r>
      <w:r>
        <w:rPr>
          <w:rFonts w:hint="eastAsia"/>
        </w:rPr>
        <w:t>等信息。建议多引用期刊文献，尽量少引用专著、书籍等</w:t>
      </w:r>
      <w:r>
        <w:rPr>
          <w:rFonts w:hint="eastAsia"/>
          <w:color w:val="000000"/>
        </w:rPr>
        <w:t>；②采用顺序编码制，按其在文中出现的先后顺序用阿拉伯数字加方括号[]以上角形式标出；期刊论文、学位论文、专著、专利、会议论文集等均可作为文献，不可引用未公开发表的内部资料；期刊文献著录格式为：[序号]作者姓名（</w:t>
      </w:r>
      <w:r>
        <w:rPr>
          <w:rFonts w:hint="eastAsia"/>
          <w:b/>
          <w:bCs/>
          <w:color w:val="FF0000"/>
        </w:rPr>
        <w:t>3人以上只列3人，后加‘，等’字</w:t>
      </w:r>
      <w:r>
        <w:rPr>
          <w:rFonts w:hint="eastAsia"/>
          <w:color w:val="000000"/>
        </w:rPr>
        <w:t>）.题名[J]期刊名，年，卷(期):起止页码。③其他文献著录格式请参考GB/T7714—2015《信息与文献参考文献著录规则》或本刊已发表论文参考文献著录格式。参考文献标注齐全，不能有缺项，并在正文相应处给予标注，不会标注者请可以参考我刊刊载文章。</w:t>
      </w:r>
    </w:p>
  </w:comment>
  <w:comment w:id="34" w:author="作者" w:date="2022-01-09T16:51:00Z" w:initials="A">
    <w:p w14:paraId="460148E3">
      <w:pPr>
        <w:pStyle w:val="6"/>
      </w:pPr>
      <w:r>
        <w:rPr>
          <w:rFonts w:hint="eastAsia"/>
        </w:rPr>
        <w:t>严格按照参考文献的格式补充文献，务必填写正确的</w:t>
      </w:r>
      <w:r>
        <w:rPr>
          <w:rFonts w:hint="eastAsia"/>
          <w:b/>
          <w:bCs/>
        </w:rPr>
        <w:t>年、卷期、页码</w:t>
      </w:r>
      <w:r>
        <w:rPr>
          <w:rFonts w:hint="eastAsia"/>
        </w:rPr>
        <w:t>等信息。</w:t>
      </w:r>
      <w:r>
        <w:rPr>
          <w:rFonts w:hint="eastAsia"/>
          <w:b/>
          <w:bCs/>
          <w:color w:val="FF0000"/>
        </w:rPr>
        <w:t>建议多引用近年来发表的期刊文献</w:t>
      </w:r>
      <w:r>
        <w:rPr>
          <w:rFonts w:hint="eastAsia"/>
        </w:rPr>
        <w:t>，尽量少引用专著、书籍等。</w:t>
      </w:r>
      <w:r>
        <w:rPr>
          <w:rFonts w:hint="eastAsia"/>
          <w:b/>
          <w:bCs/>
          <w:color w:val="FF0000"/>
        </w:rPr>
        <w:t>为增强本刊报道成果的延续性和时效性，</w:t>
      </w:r>
      <w:r>
        <w:rPr>
          <w:rFonts w:hint="eastAsia"/>
          <w:b/>
          <w:bCs/>
          <w:color w:val="FF0000"/>
          <w:lang w:val="en-US" w:eastAsia="zh-CN"/>
        </w:rPr>
        <w:t>可考虑阅读参考</w:t>
      </w:r>
      <w:r>
        <w:rPr>
          <w:rFonts w:hint="eastAsia"/>
          <w:b/>
          <w:bCs/>
          <w:color w:val="FF0000"/>
        </w:rPr>
        <w:t>近</w:t>
      </w:r>
      <w:r>
        <w:rPr>
          <w:b/>
          <w:bCs/>
          <w:color w:val="FF0000"/>
        </w:rPr>
        <w:t>2</w:t>
      </w:r>
      <w:r>
        <w:rPr>
          <w:rFonts w:hint="eastAsia"/>
          <w:b/>
          <w:bCs/>
          <w:color w:val="FF0000"/>
        </w:rPr>
        <w:t>年内的1~3篇《煤炭工程》正刊论文，但引用本刊文献不可超过4篇。</w:t>
      </w:r>
    </w:p>
  </w:comment>
  <w:comment w:id="35" w:author="作者" w:date="2022-01-09T16:19:00Z" w:initials="A">
    <w:p w14:paraId="12EF63B2">
      <w:pPr>
        <w:pStyle w:val="6"/>
      </w:pPr>
      <w:r>
        <w:rPr>
          <w:rFonts w:hint="eastAsia"/>
          <w:b/>
          <w:bCs/>
          <w:color w:val="000000"/>
        </w:rPr>
        <w:t>要求：</w:t>
      </w:r>
      <w:r>
        <w:rPr>
          <w:color w:val="000000"/>
        </w:rPr>
        <w:t>[序号]作者姓名（3人以上只列3人，后加‘</w:t>
      </w:r>
      <w:r>
        <w:rPr>
          <w:rFonts w:hint="eastAsia"/>
          <w:color w:val="000000"/>
        </w:rPr>
        <w:t>，</w:t>
      </w:r>
      <w:r>
        <w:rPr>
          <w:color w:val="000000"/>
        </w:rPr>
        <w:t>等’字）.题名[J]期刊名，年，卷(期):起止页码。</w:t>
      </w:r>
    </w:p>
  </w:comment>
  <w:comment w:id="36" w:author="作者" w:date="2022-01-09T16:19:00Z" w:initials="A">
    <w:p w14:paraId="1D7955FC">
      <w:pPr>
        <w:pStyle w:val="6"/>
      </w:pPr>
      <w:r>
        <w:rPr>
          <w:rFonts w:hint="eastAsia"/>
          <w:b/>
          <w:bCs/>
          <w:color w:val="000000"/>
        </w:rPr>
        <w:t>要求：</w:t>
      </w:r>
      <w:r>
        <w:rPr>
          <w:rFonts w:hint="eastAsia"/>
        </w:rPr>
        <w:t>作者姓名为两个字时，中间空一个字符。</w:t>
      </w:r>
    </w:p>
  </w:comment>
  <w:comment w:id="37" w:author="作者" w:date="2022-01-09T16:46:00Z" w:initials="A">
    <w:p w14:paraId="4A864C45">
      <w:pPr>
        <w:pStyle w:val="6"/>
      </w:pPr>
      <w:r>
        <w:rPr>
          <w:rFonts w:hint="eastAsia"/>
          <w:b/>
          <w:bCs/>
          <w:color w:val="000000"/>
        </w:rPr>
        <w:t>要求：</w:t>
      </w:r>
      <w:r>
        <w:rPr>
          <w:rFonts w:hint="eastAsia"/>
          <w:color w:val="000000"/>
        </w:rPr>
        <w:t>期号如一位数，无需加0，例（0</w:t>
      </w:r>
      <w:r>
        <w:rPr>
          <w:color w:val="000000"/>
        </w:rPr>
        <w:t>5</w:t>
      </w:r>
      <w:r>
        <w:rPr>
          <w:rFonts w:hint="eastAsia"/>
          <w:color w:val="000000"/>
        </w:rPr>
        <w:t>）修改为（</w:t>
      </w:r>
      <w:r>
        <w:rPr>
          <w:color w:val="000000"/>
        </w:rPr>
        <w:t>5</w:t>
      </w:r>
      <w:r>
        <w:rPr>
          <w:rFonts w:hint="eastAsia"/>
          <w:color w:val="000000"/>
        </w:rPr>
        <w:t>）</w:t>
      </w:r>
    </w:p>
  </w:comment>
  <w:comment w:id="38" w:author="作者" w:date="2022-01-09T16:55:00Z" w:initials="A">
    <w:p w14:paraId="1A322085">
      <w:pPr>
        <w:pStyle w:val="6"/>
      </w:pPr>
      <w:r>
        <w:rPr>
          <w:rFonts w:hint="eastAsia"/>
          <w:b/>
          <w:bCs/>
        </w:rPr>
        <w:t>参考文献格式</w:t>
      </w:r>
      <w:r>
        <w:rPr>
          <w:rFonts w:hint="eastAsia"/>
        </w:rPr>
        <w:t>：宋体，小五，左对齐，1</w:t>
      </w:r>
      <w:r>
        <w:t>8</w:t>
      </w:r>
      <w:r>
        <w:rPr>
          <w:rFonts w:hint="eastAsia"/>
        </w:rPr>
        <w:t>磅行间距。</w:t>
      </w:r>
    </w:p>
  </w:comment>
  <w:comment w:id="39" w:author="作者" w:date="2022-01-09T18:02:00Z" w:initials="A">
    <w:p w14:paraId="41943064">
      <w:pPr>
        <w:pStyle w:val="6"/>
      </w:pPr>
      <w:r>
        <w:rPr>
          <w:rFonts w:hint="eastAsia"/>
        </w:rPr>
        <w:t>学位论文在毕业论文保存地点前加保存地点地级市名称。</w:t>
      </w:r>
    </w:p>
  </w:comment>
  <w:comment w:id="40" w:author="作者" w:date="2022-01-09T18:07:00Z" w:initials="A">
    <w:p w14:paraId="13D13A61">
      <w:pPr>
        <w:pStyle w:val="6"/>
        <w:rPr>
          <w:rFonts w:ascii="Arial" w:hAnsi="Arial" w:cs="Arial"/>
          <w:color w:val="000000"/>
          <w:kern w:val="0"/>
        </w:rPr>
      </w:pPr>
      <w:r>
        <w:rPr>
          <w:rFonts w:hint="eastAsia" w:ascii="Arial" w:hAnsi="Arial" w:cs="Arial"/>
          <w:color w:val="000000"/>
          <w:kern w:val="0"/>
        </w:rPr>
        <w:t>参考文献的作者3个以上才能写‘等’，3个以内作者须写全。</w:t>
      </w:r>
    </w:p>
    <w:p w14:paraId="3C94212A">
      <w:pPr>
        <w:pStyle w:val="6"/>
        <w:spacing w:before="120" w:after="120"/>
      </w:pPr>
      <w:r>
        <w:rPr>
          <w:rFonts w:hint="eastAsia"/>
        </w:rPr>
        <w:t>作者姓名为两个字时，中间空一个字符。</w:t>
      </w:r>
    </w:p>
  </w:comment>
  <w:comment w:id="41" w:author="作者" w:date="2022-01-09T18:07:00Z" w:initials="A">
    <w:p w14:paraId="1F5C2EAA">
      <w:pPr>
        <w:pStyle w:val="6"/>
      </w:pPr>
      <w:r>
        <w:rPr>
          <w:rFonts w:hint="eastAsia"/>
          <w:color w:val="000000"/>
        </w:rPr>
        <w:t>期号如一位数，无需加0，例（0</w:t>
      </w:r>
      <w:r>
        <w:rPr>
          <w:color w:val="000000"/>
        </w:rPr>
        <w:t>5</w:t>
      </w:r>
      <w:r>
        <w:rPr>
          <w:rFonts w:hint="eastAsia"/>
          <w:color w:val="000000"/>
        </w:rPr>
        <w:t>）修改为（</w:t>
      </w:r>
      <w:r>
        <w:rPr>
          <w:color w:val="000000"/>
        </w:rPr>
        <w:t>5</w:t>
      </w:r>
      <w:r>
        <w:rPr>
          <w:rFonts w:hint="eastAsia"/>
          <w:color w:val="000000"/>
        </w:rPr>
        <w:t>）</w:t>
      </w:r>
    </w:p>
  </w:comment>
  <w:comment w:id="42" w:author="作者" w:date="2023-11-28T16:07:00Z" w:initials="A">
    <w:p w14:paraId="0A4B7C9B">
      <w:pPr>
        <w:pStyle w:val="6"/>
      </w:pPr>
      <w:r>
        <w:rPr>
          <w:rFonts w:hint="eastAsia"/>
        </w:rPr>
        <w:t>1.作者姓和作者名字中间采用空格隔开，姓全部大写，名的首字母大写。如：郭涛，GUO Tao；</w:t>
      </w:r>
    </w:p>
    <w:p w14:paraId="205716A2">
      <w:pPr>
        <w:pStyle w:val="6"/>
      </w:pPr>
      <w:r>
        <w:rPr>
          <w:rFonts w:hint="eastAsia"/>
        </w:rPr>
        <w:t>2.英文题目仅首字母大写，其他非规定须大写的单词，全部采用小写。</w:t>
      </w:r>
      <w:r>
        <w:rPr>
          <w:rFonts w:hint="eastAsia"/>
          <w:color w:val="FF0000"/>
        </w:rPr>
        <w:t>（具体翻译方法见附录（二））</w:t>
      </w:r>
    </w:p>
    <w:p w14:paraId="3E084A38">
      <w:pPr>
        <w:pStyle w:val="6"/>
      </w:pPr>
      <w:r>
        <w:rPr>
          <w:rFonts w:hint="eastAsia"/>
        </w:rPr>
        <w:t>3.期刊名称的每个首字母均采用大写。</w:t>
      </w:r>
      <w:r>
        <w:rPr>
          <w:rFonts w:hint="eastAsia"/>
          <w:color w:val="FF0000"/>
        </w:rPr>
        <w:t>（具体翻译方法可登录该篇文章的期刊官网查找）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0AE5AB1" w15:done="0"/>
  <w15:commentEx w15:paraId="7C640EF7" w15:done="0"/>
  <w15:commentEx w15:paraId="7FF139F5" w15:done="0"/>
  <w15:commentEx w15:paraId="63320DF4" w15:done="0"/>
  <w15:commentEx w15:paraId="02AD05D9" w15:done="0"/>
  <w15:commentEx w15:paraId="3E432093" w15:done="0"/>
  <w15:commentEx w15:paraId="226C0077" w15:done="0"/>
  <w15:commentEx w15:paraId="37D3239C" w15:done="0"/>
  <w15:commentEx w15:paraId="0C210D10" w15:done="0"/>
  <w15:commentEx w15:paraId="008B6B94" w15:done="0"/>
  <w15:commentEx w15:paraId="2AA84960" w15:done="0"/>
  <w15:commentEx w15:paraId="79911AA8" w15:done="0"/>
  <w15:commentEx w15:paraId="2D2350CD" w15:done="0"/>
  <w15:commentEx w15:paraId="2458782E" w15:done="0"/>
  <w15:commentEx w15:paraId="772F2FAA" w15:done="0"/>
  <w15:commentEx w15:paraId="690A595E" w15:done="0"/>
  <w15:commentEx w15:paraId="3EDC360D" w15:done="0"/>
  <w15:commentEx w15:paraId="1FD76918" w15:done="0"/>
  <w15:commentEx w15:paraId="1C7C10F4" w15:done="0"/>
  <w15:commentEx w15:paraId="173A4078" w15:done="0"/>
  <w15:commentEx w15:paraId="4F7E6DAC" w15:done="0"/>
  <w15:commentEx w15:paraId="0F805D02" w15:done="0"/>
  <w15:commentEx w15:paraId="64954C22" w15:done="0"/>
  <w15:commentEx w15:paraId="7070104A" w15:done="0"/>
  <w15:commentEx w15:paraId="7CF61EDA" w15:done="0"/>
  <w15:commentEx w15:paraId="2C5E64C6" w15:done="0"/>
  <w15:commentEx w15:paraId="0DEB082D" w15:done="0"/>
  <w15:commentEx w15:paraId="00535E62" w15:done="0"/>
  <w15:commentEx w15:paraId="787F7730" w15:done="0"/>
  <w15:commentEx w15:paraId="57480F12" w15:done="0"/>
  <w15:commentEx w15:paraId="52F2358D" w15:done="0"/>
  <w15:commentEx w15:paraId="7ABB7992" w15:done="0"/>
  <w15:commentEx w15:paraId="3F9C03DA" w15:done="0"/>
  <w15:commentEx w15:paraId="37945023" w15:done="0"/>
  <w15:commentEx w15:paraId="460148E3" w15:done="0"/>
  <w15:commentEx w15:paraId="12EF63B2" w15:done="0"/>
  <w15:commentEx w15:paraId="1D7955FC" w15:done="0"/>
  <w15:commentEx w15:paraId="4A864C45" w15:done="0"/>
  <w15:commentEx w15:paraId="1A322085" w15:done="0"/>
  <w15:commentEx w15:paraId="41943064" w15:done="0"/>
  <w15:commentEx w15:paraId="3C94212A" w15:done="0"/>
  <w15:commentEx w15:paraId="1F5C2EAA" w15:done="0"/>
  <w15:commentEx w15:paraId="3E084A3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tabs>
        <w:tab w:val="left" w:pos="720"/>
        <w:tab w:val="right" w:pos="9072"/>
      </w:tabs>
      <w:rPr>
        <w:b/>
        <w:bCs/>
        <w:kern w:val="0"/>
        <w:sz w:val="24"/>
      </w:rPr>
    </w:pPr>
    <w:r>
      <w:rPr>
        <w:b/>
        <w:bCs/>
        <w:kern w:val="0"/>
        <w:sz w:val="24"/>
      </w:rPr>
      <w:t>煤炭工程</w:t>
    </w:r>
  </w:p>
  <w:p>
    <w:pPr>
      <w:pStyle w:val="13"/>
      <w:rPr>
        <w:b/>
        <w:bCs/>
      </w:rPr>
    </w:pPr>
    <w:r>
      <w:rPr>
        <w:b/>
        <w:bCs/>
        <w:kern w:val="0"/>
        <w:szCs w:val="21"/>
      </w:rPr>
      <w:t>第XX卷</w:t>
    </w:r>
    <w:r>
      <w:rPr>
        <w:rFonts w:hint="eastAsia"/>
        <w:b/>
        <w:bCs/>
        <w:kern w:val="0"/>
        <w:szCs w:val="21"/>
      </w:rPr>
      <w:t xml:space="preserve"> </w:t>
    </w:r>
    <w:r>
      <w:rPr>
        <w:b/>
        <w:bCs/>
        <w:kern w:val="0"/>
        <w:szCs w:val="21"/>
      </w:rPr>
      <w:t xml:space="preserve">第X 期                        </w:t>
    </w:r>
    <w:r>
      <w:rPr>
        <w:b/>
        <w:bCs/>
        <w:kern w:val="0"/>
      </w:rPr>
      <w:t xml:space="preserve">COAL ENGINEERING                          </w:t>
    </w:r>
    <w:r>
      <w:rPr>
        <w:b/>
        <w:bCs/>
        <w:kern w:val="0"/>
        <w:szCs w:val="21"/>
      </w:rPr>
      <w:t xml:space="preserve">Vol. </w:t>
    </w:r>
    <w:r>
      <w:rPr>
        <w:rFonts w:hint="eastAsia"/>
        <w:b/>
        <w:bCs/>
        <w:kern w:val="0"/>
        <w:szCs w:val="21"/>
      </w:rPr>
      <w:t>X</w:t>
    </w:r>
    <w:r>
      <w:rPr>
        <w:b/>
        <w:bCs/>
        <w:kern w:val="0"/>
        <w:szCs w:val="21"/>
      </w:rPr>
      <w:t xml:space="preserve">，No. </w:t>
    </w:r>
    <w:r>
      <w:rPr>
        <w:rFonts w:hint="eastAsia"/>
        <w:b/>
        <w:bCs/>
        <w:kern w:val="0"/>
        <w:szCs w:val="21"/>
      </w:rPr>
      <w:t>X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tabs>
        <w:tab w:val="left" w:pos="720"/>
        <w:tab w:val="right" w:pos="9072"/>
      </w:tabs>
      <w:rPr>
        <w:b/>
        <w:bCs/>
        <w:kern w:val="0"/>
        <w:sz w:val="24"/>
      </w:rPr>
    </w:pPr>
    <w:r>
      <w:rPr>
        <w:b/>
        <w:bCs/>
        <w:kern w:val="0"/>
        <w:sz w:val="24"/>
      </w:rPr>
      <w:t>煤炭工程</w:t>
    </w:r>
  </w:p>
  <w:p>
    <w:pPr>
      <w:pStyle w:val="13"/>
      <w:rPr>
        <w:b/>
        <w:bCs/>
      </w:rPr>
    </w:pPr>
    <w:r>
      <w:rPr>
        <w:b/>
        <w:bCs/>
        <w:kern w:val="0"/>
        <w:szCs w:val="21"/>
      </w:rPr>
      <w:t>第XX卷</w:t>
    </w:r>
    <w:r>
      <w:rPr>
        <w:rFonts w:hint="eastAsia"/>
        <w:b/>
        <w:bCs/>
        <w:kern w:val="0"/>
        <w:szCs w:val="21"/>
      </w:rPr>
      <w:t xml:space="preserve"> </w:t>
    </w:r>
    <w:r>
      <w:rPr>
        <w:b/>
        <w:bCs/>
        <w:kern w:val="0"/>
        <w:szCs w:val="21"/>
      </w:rPr>
      <w:t xml:space="preserve">第X 期                        </w:t>
    </w:r>
    <w:r>
      <w:rPr>
        <w:b/>
        <w:bCs/>
        <w:kern w:val="0"/>
      </w:rPr>
      <w:t xml:space="preserve">COAL ENGINEERING                          </w:t>
    </w:r>
    <w:r>
      <w:rPr>
        <w:b/>
        <w:bCs/>
        <w:kern w:val="0"/>
        <w:szCs w:val="21"/>
      </w:rPr>
      <w:t xml:space="preserve">Vol. </w:t>
    </w:r>
    <w:r>
      <w:rPr>
        <w:rFonts w:hint="eastAsia"/>
        <w:b/>
        <w:bCs/>
        <w:kern w:val="0"/>
        <w:szCs w:val="21"/>
      </w:rPr>
      <w:t>X</w:t>
    </w:r>
    <w:r>
      <w:rPr>
        <w:b/>
        <w:bCs/>
        <w:kern w:val="0"/>
        <w:szCs w:val="21"/>
      </w:rPr>
      <w:t xml:space="preserve">，No. </w:t>
    </w:r>
    <w:r>
      <w:rPr>
        <w:rFonts w:hint="eastAsia"/>
        <w:b/>
        <w:bCs/>
        <w:kern w:val="0"/>
        <w:szCs w:val="21"/>
      </w:rPr>
      <w:t>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single" w:color="auto" w:sz="6" w:space="4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710A5C"/>
    <w:multiLevelType w:val="multilevel"/>
    <w:tmpl w:val="08710A5C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363432"/>
    <w:multiLevelType w:val="multilevel"/>
    <w:tmpl w:val="31363432"/>
    <w:lvl w:ilvl="0" w:tentative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  <w:rPr>
        <w:rFonts w:hint="eastAsia"/>
        <w:color w:val="auto"/>
        <w:sz w:val="18"/>
        <w:szCs w:val="18"/>
      </w:rPr>
    </w:lvl>
    <w:lvl w:ilvl="1" w:tentative="0">
      <w:start w:val="1"/>
      <w:numFmt w:val="none"/>
      <w:lvlText w:val="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372E1241"/>
    <w:multiLevelType w:val="multilevel"/>
    <w:tmpl w:val="372E124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removePersonalInformation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2ODg5YmM1NDM3ZWEzMGJhYjFjYTI3YzIxZDFjM2YifQ=="/>
  </w:docVars>
  <w:rsids>
    <w:rsidRoot w:val="00F9578F"/>
    <w:rsid w:val="000238A2"/>
    <w:rsid w:val="00037AF0"/>
    <w:rsid w:val="00074D1F"/>
    <w:rsid w:val="000B37DA"/>
    <w:rsid w:val="000C59ED"/>
    <w:rsid w:val="000E51DA"/>
    <w:rsid w:val="001054E3"/>
    <w:rsid w:val="0011153E"/>
    <w:rsid w:val="00120A80"/>
    <w:rsid w:val="00127A67"/>
    <w:rsid w:val="00170A49"/>
    <w:rsid w:val="00177FAE"/>
    <w:rsid w:val="00187A88"/>
    <w:rsid w:val="001A50D8"/>
    <w:rsid w:val="002053F6"/>
    <w:rsid w:val="0021000C"/>
    <w:rsid w:val="002109F2"/>
    <w:rsid w:val="00224E30"/>
    <w:rsid w:val="002809EA"/>
    <w:rsid w:val="00291C8E"/>
    <w:rsid w:val="002D228C"/>
    <w:rsid w:val="002E7AD3"/>
    <w:rsid w:val="0031315A"/>
    <w:rsid w:val="0031372C"/>
    <w:rsid w:val="00326AE8"/>
    <w:rsid w:val="003573EA"/>
    <w:rsid w:val="00387808"/>
    <w:rsid w:val="003A2BE8"/>
    <w:rsid w:val="003B491F"/>
    <w:rsid w:val="003C0645"/>
    <w:rsid w:val="003C1A83"/>
    <w:rsid w:val="003E43BB"/>
    <w:rsid w:val="00413A2A"/>
    <w:rsid w:val="00440E91"/>
    <w:rsid w:val="0046725B"/>
    <w:rsid w:val="004B0C02"/>
    <w:rsid w:val="004D62D7"/>
    <w:rsid w:val="004F25DD"/>
    <w:rsid w:val="00500FAB"/>
    <w:rsid w:val="005034EB"/>
    <w:rsid w:val="0051494A"/>
    <w:rsid w:val="00554032"/>
    <w:rsid w:val="00557F41"/>
    <w:rsid w:val="005921CF"/>
    <w:rsid w:val="00592BAC"/>
    <w:rsid w:val="005A2F46"/>
    <w:rsid w:val="005C664B"/>
    <w:rsid w:val="005D0E0E"/>
    <w:rsid w:val="005F60C0"/>
    <w:rsid w:val="005F62EF"/>
    <w:rsid w:val="00604AE6"/>
    <w:rsid w:val="006E4973"/>
    <w:rsid w:val="00702B4D"/>
    <w:rsid w:val="00720CCB"/>
    <w:rsid w:val="00724B66"/>
    <w:rsid w:val="00743029"/>
    <w:rsid w:val="00746CC0"/>
    <w:rsid w:val="00756F4A"/>
    <w:rsid w:val="00764714"/>
    <w:rsid w:val="007778C9"/>
    <w:rsid w:val="007C5B00"/>
    <w:rsid w:val="007D2301"/>
    <w:rsid w:val="007E0F7F"/>
    <w:rsid w:val="007F7609"/>
    <w:rsid w:val="008351EC"/>
    <w:rsid w:val="00854439"/>
    <w:rsid w:val="00860C29"/>
    <w:rsid w:val="008755C5"/>
    <w:rsid w:val="008B4991"/>
    <w:rsid w:val="008D71DB"/>
    <w:rsid w:val="008F6927"/>
    <w:rsid w:val="009145A6"/>
    <w:rsid w:val="00921A86"/>
    <w:rsid w:val="00933437"/>
    <w:rsid w:val="00962DFE"/>
    <w:rsid w:val="009654AC"/>
    <w:rsid w:val="00980773"/>
    <w:rsid w:val="00981C34"/>
    <w:rsid w:val="009978DA"/>
    <w:rsid w:val="00997B74"/>
    <w:rsid w:val="009A7781"/>
    <w:rsid w:val="00A0363C"/>
    <w:rsid w:val="00A0534C"/>
    <w:rsid w:val="00A630EB"/>
    <w:rsid w:val="00A75E0B"/>
    <w:rsid w:val="00A8428D"/>
    <w:rsid w:val="00A877B5"/>
    <w:rsid w:val="00AA7793"/>
    <w:rsid w:val="00AA7994"/>
    <w:rsid w:val="00AB0B8D"/>
    <w:rsid w:val="00B06B76"/>
    <w:rsid w:val="00B15CA9"/>
    <w:rsid w:val="00B36F64"/>
    <w:rsid w:val="00BA5997"/>
    <w:rsid w:val="00BB73DF"/>
    <w:rsid w:val="00BC3B59"/>
    <w:rsid w:val="00BC4EF8"/>
    <w:rsid w:val="00BE012C"/>
    <w:rsid w:val="00BE5F96"/>
    <w:rsid w:val="00C315F8"/>
    <w:rsid w:val="00C41772"/>
    <w:rsid w:val="00C44A3C"/>
    <w:rsid w:val="00C7019A"/>
    <w:rsid w:val="00C77975"/>
    <w:rsid w:val="00C91367"/>
    <w:rsid w:val="00C93B3B"/>
    <w:rsid w:val="00CB451E"/>
    <w:rsid w:val="00CB6891"/>
    <w:rsid w:val="00CD3661"/>
    <w:rsid w:val="00CF52C3"/>
    <w:rsid w:val="00D05A79"/>
    <w:rsid w:val="00D159F2"/>
    <w:rsid w:val="00D15C8A"/>
    <w:rsid w:val="00D35FE1"/>
    <w:rsid w:val="00D87203"/>
    <w:rsid w:val="00D94201"/>
    <w:rsid w:val="00DA4581"/>
    <w:rsid w:val="00DD7BE0"/>
    <w:rsid w:val="00E01977"/>
    <w:rsid w:val="00E14143"/>
    <w:rsid w:val="00E33F06"/>
    <w:rsid w:val="00E37C05"/>
    <w:rsid w:val="00E4504D"/>
    <w:rsid w:val="00E45286"/>
    <w:rsid w:val="00E46300"/>
    <w:rsid w:val="00E46499"/>
    <w:rsid w:val="00E54D15"/>
    <w:rsid w:val="00EA0E51"/>
    <w:rsid w:val="00EE4F56"/>
    <w:rsid w:val="00EE68FF"/>
    <w:rsid w:val="00F9578F"/>
    <w:rsid w:val="00FA37B8"/>
    <w:rsid w:val="00FA73B4"/>
    <w:rsid w:val="00FC6DD2"/>
    <w:rsid w:val="00FE6883"/>
    <w:rsid w:val="00FF553B"/>
    <w:rsid w:val="00FF6B36"/>
    <w:rsid w:val="08EB6C4F"/>
    <w:rsid w:val="0B537169"/>
    <w:rsid w:val="1845618B"/>
    <w:rsid w:val="1BD70224"/>
    <w:rsid w:val="2AEB1B74"/>
    <w:rsid w:val="2ECD0400"/>
    <w:rsid w:val="3A666211"/>
    <w:rsid w:val="52BD6963"/>
    <w:rsid w:val="64EB4921"/>
    <w:rsid w:val="7729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99" w:semiHidden="0" w:name="page number"/>
    <w:lsdException w:qFormat="1" w:unhideWhenUsed="0" w:uiPriority="99" w:name="endnote reference"/>
    <w:lsdException w:qFormat="1" w:unhideWhenUsed="0"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name="annotation subject"/>
    <w:lsdException w:uiPriority="0" w:name="Table Simple 1" w:locked="1"/>
    <w:lsdException w:qFormat="1" w:unhideWhenUsed="0" w:uiPriority="99" w:semiHidden="0" w:name="Table Simple 2"/>
    <w:lsdException w:uiPriority="0" w:name="Table Simple 3" w:locked="1"/>
    <w:lsdException w:qFormat="1" w:unhideWhenUsed="0" w:uiPriority="99" w:semiHidden="0" w:name="Table Classic 1"/>
    <w:lsdException w:qFormat="1" w:unhideWhenUsed="0" w:uiPriority="99" w:semiHidden="0" w:name="Table Classic 2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name="Balloon Text"/>
    <w:lsdException w:qFormat="1" w:unhideWhenUsed="0" w:uiPriority="59" w:semiHidden="0" w:name="Table Grid"/>
    <w:lsdException w:uiPriority="0" w:name="Table Theme" w:locked="1"/>
    <w:lsdException w:qFormat="1" w:unhideWhenUsed="0" w:uiPriority="99" w:name="Placeholder Text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autoRedefine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4">
    <w:name w:val="heading 3"/>
    <w:basedOn w:val="1"/>
    <w:next w:val="1"/>
    <w:link w:val="34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5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autoRedefine/>
    <w:qFormat/>
    <w:uiPriority w:val="99"/>
    <w:rPr>
      <w:rFonts w:ascii="Arial" w:hAnsi="Arial" w:eastAsia="黑体" w:cs="Arial"/>
      <w:sz w:val="20"/>
      <w:szCs w:val="20"/>
    </w:rPr>
  </w:style>
  <w:style w:type="paragraph" w:styleId="6">
    <w:name w:val="annotation text"/>
    <w:basedOn w:val="1"/>
    <w:link w:val="40"/>
    <w:autoRedefine/>
    <w:qFormat/>
    <w:uiPriority w:val="0"/>
    <w:pPr>
      <w:jc w:val="left"/>
    </w:pPr>
  </w:style>
  <w:style w:type="paragraph" w:styleId="7">
    <w:name w:val="Body Text 3"/>
    <w:basedOn w:val="1"/>
    <w:link w:val="45"/>
    <w:autoRedefine/>
    <w:qFormat/>
    <w:uiPriority w:val="99"/>
    <w:pPr>
      <w:spacing w:after="120"/>
    </w:pPr>
    <w:rPr>
      <w:sz w:val="16"/>
      <w:szCs w:val="16"/>
    </w:rPr>
  </w:style>
  <w:style w:type="paragraph" w:styleId="8">
    <w:name w:val="Body Text"/>
    <w:basedOn w:val="1"/>
    <w:link w:val="39"/>
    <w:autoRedefine/>
    <w:qFormat/>
    <w:uiPriority w:val="99"/>
    <w:pPr>
      <w:spacing w:after="120"/>
    </w:pPr>
  </w:style>
  <w:style w:type="paragraph" w:styleId="9">
    <w:name w:val="Body Text Indent"/>
    <w:basedOn w:val="1"/>
    <w:link w:val="36"/>
    <w:autoRedefine/>
    <w:qFormat/>
    <w:uiPriority w:val="99"/>
    <w:pPr>
      <w:spacing w:after="120"/>
      <w:ind w:left="420" w:leftChars="200"/>
    </w:pPr>
  </w:style>
  <w:style w:type="paragraph" w:styleId="10">
    <w:name w:val="endnote text"/>
    <w:basedOn w:val="1"/>
    <w:link w:val="51"/>
    <w:autoRedefine/>
    <w:semiHidden/>
    <w:qFormat/>
    <w:uiPriority w:val="99"/>
    <w:pPr>
      <w:snapToGrid w:val="0"/>
      <w:jc w:val="left"/>
    </w:pPr>
  </w:style>
  <w:style w:type="paragraph" w:styleId="11">
    <w:name w:val="Balloon Text"/>
    <w:basedOn w:val="1"/>
    <w:link w:val="42"/>
    <w:autoRedefine/>
    <w:semiHidden/>
    <w:qFormat/>
    <w:uiPriority w:val="99"/>
    <w:rPr>
      <w:sz w:val="18"/>
      <w:szCs w:val="18"/>
    </w:rPr>
  </w:style>
  <w:style w:type="paragraph" w:styleId="12">
    <w:name w:val="footer"/>
    <w:basedOn w:val="1"/>
    <w:link w:val="4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List"/>
    <w:basedOn w:val="1"/>
    <w:autoRedefine/>
    <w:qFormat/>
    <w:uiPriority w:val="99"/>
    <w:pPr>
      <w:ind w:left="200" w:hanging="200" w:hangingChars="200"/>
    </w:pPr>
  </w:style>
  <w:style w:type="paragraph" w:styleId="15">
    <w:name w:val="footnote text"/>
    <w:basedOn w:val="1"/>
    <w:link w:val="49"/>
    <w:autoRedefine/>
    <w:semiHidden/>
    <w:qFormat/>
    <w:uiPriority w:val="99"/>
    <w:pPr>
      <w:snapToGrid w:val="0"/>
      <w:jc w:val="left"/>
    </w:pPr>
    <w:rPr>
      <w:sz w:val="18"/>
      <w:szCs w:val="18"/>
    </w:rPr>
  </w:style>
  <w:style w:type="paragraph" w:styleId="16">
    <w:name w:val="Body Text 2"/>
    <w:basedOn w:val="1"/>
    <w:link w:val="35"/>
    <w:autoRedefine/>
    <w:qFormat/>
    <w:uiPriority w:val="99"/>
    <w:pPr>
      <w:spacing w:line="240" w:lineRule="exact"/>
      <w:jc w:val="center"/>
    </w:pPr>
  </w:style>
  <w:style w:type="paragraph" w:styleId="1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annotation subject"/>
    <w:basedOn w:val="6"/>
    <w:next w:val="6"/>
    <w:link w:val="41"/>
    <w:autoRedefine/>
    <w:semiHidden/>
    <w:qFormat/>
    <w:uiPriority w:val="99"/>
    <w:rPr>
      <w:b/>
      <w:bCs/>
    </w:rPr>
  </w:style>
  <w:style w:type="paragraph" w:styleId="19">
    <w:name w:val="Body Text First Indent 2"/>
    <w:basedOn w:val="9"/>
    <w:link w:val="48"/>
    <w:autoRedefine/>
    <w:qFormat/>
    <w:uiPriority w:val="99"/>
    <w:pPr>
      <w:ind w:firstLine="420" w:firstLineChars="200"/>
    </w:pPr>
  </w:style>
  <w:style w:type="table" w:styleId="21">
    <w:name w:val="Table Grid"/>
    <w:basedOn w:val="2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2">
    <w:name w:val="Table Classic 1"/>
    <w:basedOn w:val="20"/>
    <w:autoRedefine/>
    <w:qFormat/>
    <w:uiPriority w:val="99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blStylePr w:type="firstRow">
      <w:rPr>
        <w:i/>
        <w:iCs/>
      </w:rPr>
      <w:tblPr/>
      <w:tcPr>
        <w:tcBorders>
          <w:bottom w:val="single" w:color="000000" w:sz="6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</w:tcBorders>
      </w:tcPr>
    </w:tblStylePr>
    <w:tblStylePr w:type="firstCol">
      <w:tblPr/>
      <w:tcPr>
        <w:tcBorders>
          <w:right w:val="single" w:color="000000" w:sz="6" w:space="0"/>
        </w:tcBorders>
      </w:tcPr>
    </w:tblStylePr>
    <w:tblStylePr w:type="neCell">
      <w:rPr>
        <w:b/>
        <w:bCs/>
        <w:i w:val="0"/>
        <w:iCs w:val="0"/>
      </w:rPr>
      <w:tblPr/>
    </w:tblStylePr>
    <w:tblStylePr w:type="swCell">
      <w:rPr>
        <w:b/>
        <w:bCs/>
      </w:rPr>
      <w:tblPr/>
    </w:tblStylePr>
  </w:style>
  <w:style w:type="table" w:styleId="23">
    <w:name w:val="Table Classic 2"/>
    <w:basedOn w:val="20"/>
    <w:autoRedefine/>
    <w:qFormat/>
    <w:uiPriority w:val="99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blStylePr w:type="firstRow">
      <w:rPr>
        <w:color w:val="FFFFFF"/>
      </w:rPr>
      <w:tblPr/>
      <w:tcPr>
        <w:tcBorders>
          <w:bottom w:val="single" w:color="000000" w:sz="6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  <w:tblPr/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  <w:tblPr/>
    </w:tblStylePr>
  </w:style>
  <w:style w:type="table" w:styleId="24">
    <w:name w:val="Table Simple 2"/>
    <w:basedOn w:val="20"/>
    <w:autoRedefine/>
    <w:qFormat/>
    <w:uiPriority w:val="99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color="000000" w:sz="12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</w:tcBorders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character" w:styleId="26">
    <w:name w:val="Strong"/>
    <w:autoRedefine/>
    <w:qFormat/>
    <w:locked/>
    <w:uiPriority w:val="22"/>
    <w:rPr>
      <w:b/>
      <w:bCs/>
    </w:rPr>
  </w:style>
  <w:style w:type="character" w:styleId="27">
    <w:name w:val="endnote reference"/>
    <w:autoRedefine/>
    <w:semiHidden/>
    <w:qFormat/>
    <w:uiPriority w:val="99"/>
    <w:rPr>
      <w:vertAlign w:val="superscript"/>
    </w:rPr>
  </w:style>
  <w:style w:type="character" w:styleId="28">
    <w:name w:val="page number"/>
    <w:basedOn w:val="25"/>
    <w:autoRedefine/>
    <w:qFormat/>
    <w:uiPriority w:val="99"/>
  </w:style>
  <w:style w:type="character" w:styleId="29">
    <w:name w:val="Hyperlink"/>
    <w:autoRedefine/>
    <w:qFormat/>
    <w:uiPriority w:val="99"/>
    <w:rPr>
      <w:color w:val="0000FF"/>
      <w:u w:val="single"/>
    </w:rPr>
  </w:style>
  <w:style w:type="character" w:styleId="30">
    <w:name w:val="annotation reference"/>
    <w:autoRedefine/>
    <w:qFormat/>
    <w:uiPriority w:val="0"/>
    <w:rPr>
      <w:sz w:val="21"/>
      <w:szCs w:val="21"/>
    </w:rPr>
  </w:style>
  <w:style w:type="character" w:styleId="31">
    <w:name w:val="footnote reference"/>
    <w:autoRedefine/>
    <w:semiHidden/>
    <w:qFormat/>
    <w:uiPriority w:val="99"/>
    <w:rPr>
      <w:vertAlign w:val="superscript"/>
    </w:rPr>
  </w:style>
  <w:style w:type="character" w:customStyle="1" w:styleId="32">
    <w:name w:val="标题 1 字符"/>
    <w:link w:val="2"/>
    <w:uiPriority w:val="9"/>
    <w:rPr>
      <w:b/>
      <w:bCs/>
      <w:kern w:val="44"/>
      <w:sz w:val="44"/>
      <w:szCs w:val="44"/>
    </w:rPr>
  </w:style>
  <w:style w:type="character" w:customStyle="1" w:styleId="33">
    <w:name w:val="标题 2 字符"/>
    <w:link w:val="3"/>
    <w:semiHidden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34">
    <w:name w:val="标题 3 字符"/>
    <w:link w:val="4"/>
    <w:autoRedefine/>
    <w:semiHidden/>
    <w:qFormat/>
    <w:uiPriority w:val="9"/>
    <w:rPr>
      <w:b/>
      <w:bCs/>
      <w:sz w:val="32"/>
      <w:szCs w:val="32"/>
    </w:rPr>
  </w:style>
  <w:style w:type="character" w:customStyle="1" w:styleId="35">
    <w:name w:val="正文文本 2 字符"/>
    <w:link w:val="16"/>
    <w:autoRedefine/>
    <w:semiHidden/>
    <w:qFormat/>
    <w:uiPriority w:val="99"/>
    <w:rPr>
      <w:szCs w:val="21"/>
    </w:rPr>
  </w:style>
  <w:style w:type="character" w:customStyle="1" w:styleId="36">
    <w:name w:val="正文文本缩进 字符"/>
    <w:link w:val="9"/>
    <w:autoRedefine/>
    <w:semiHidden/>
    <w:qFormat/>
    <w:uiPriority w:val="99"/>
    <w:rPr>
      <w:szCs w:val="21"/>
    </w:rPr>
  </w:style>
  <w:style w:type="paragraph" w:customStyle="1" w:styleId="37">
    <w:name w:val="Char"/>
    <w:basedOn w:val="1"/>
    <w:autoRedefine/>
    <w:qFormat/>
    <w:uiPriority w:val="99"/>
    <w:pPr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customStyle="1" w:styleId="38">
    <w:name w:val="Paragraph"/>
    <w:basedOn w:val="8"/>
    <w:autoRedefine/>
    <w:qFormat/>
    <w:uiPriority w:val="99"/>
    <w:pPr>
      <w:widowControl/>
      <w:jc w:val="left"/>
    </w:pPr>
    <w:rPr>
      <w:kern w:val="0"/>
      <w:sz w:val="24"/>
      <w:szCs w:val="24"/>
      <w:lang w:eastAsia="en-US"/>
    </w:rPr>
  </w:style>
  <w:style w:type="character" w:customStyle="1" w:styleId="39">
    <w:name w:val="正文文本 字符"/>
    <w:link w:val="8"/>
    <w:autoRedefine/>
    <w:semiHidden/>
    <w:qFormat/>
    <w:uiPriority w:val="99"/>
    <w:rPr>
      <w:szCs w:val="21"/>
    </w:rPr>
  </w:style>
  <w:style w:type="character" w:customStyle="1" w:styleId="40">
    <w:name w:val="批注文字 字符"/>
    <w:link w:val="6"/>
    <w:autoRedefine/>
    <w:qFormat/>
    <w:uiPriority w:val="0"/>
    <w:rPr>
      <w:szCs w:val="21"/>
    </w:rPr>
  </w:style>
  <w:style w:type="character" w:customStyle="1" w:styleId="41">
    <w:name w:val="批注主题 字符"/>
    <w:link w:val="18"/>
    <w:semiHidden/>
    <w:qFormat/>
    <w:uiPriority w:val="99"/>
    <w:rPr>
      <w:b/>
      <w:bCs/>
      <w:szCs w:val="21"/>
    </w:rPr>
  </w:style>
  <w:style w:type="character" w:customStyle="1" w:styleId="42">
    <w:name w:val="批注框文本 字符"/>
    <w:link w:val="11"/>
    <w:autoRedefine/>
    <w:semiHidden/>
    <w:qFormat/>
    <w:uiPriority w:val="99"/>
    <w:rPr>
      <w:sz w:val="0"/>
      <w:szCs w:val="0"/>
    </w:rPr>
  </w:style>
  <w:style w:type="character" w:customStyle="1" w:styleId="43">
    <w:name w:val="页眉 字符"/>
    <w:link w:val="13"/>
    <w:autoRedefine/>
    <w:qFormat/>
    <w:locked/>
    <w:uiPriority w:val="99"/>
    <w:rPr>
      <w:kern w:val="2"/>
      <w:sz w:val="18"/>
      <w:szCs w:val="18"/>
    </w:rPr>
  </w:style>
  <w:style w:type="character" w:customStyle="1" w:styleId="44">
    <w:name w:val="页脚 字符"/>
    <w:link w:val="12"/>
    <w:autoRedefine/>
    <w:qFormat/>
    <w:locked/>
    <w:uiPriority w:val="99"/>
    <w:rPr>
      <w:kern w:val="2"/>
      <w:sz w:val="18"/>
      <w:szCs w:val="18"/>
    </w:rPr>
  </w:style>
  <w:style w:type="character" w:customStyle="1" w:styleId="45">
    <w:name w:val="正文文本 3 字符"/>
    <w:link w:val="7"/>
    <w:autoRedefine/>
    <w:qFormat/>
    <w:locked/>
    <w:uiPriority w:val="99"/>
    <w:rPr>
      <w:kern w:val="2"/>
      <w:sz w:val="16"/>
      <w:szCs w:val="16"/>
    </w:rPr>
  </w:style>
  <w:style w:type="paragraph" w:styleId="46">
    <w:name w:val="No Spacing"/>
    <w:link w:val="47"/>
    <w:autoRedefine/>
    <w:qFormat/>
    <w:uiPriority w:val="99"/>
    <w:rPr>
      <w:rFonts w:ascii="Calibri" w:hAnsi="Calibri" w:eastAsia="宋体" w:cs="Calibri"/>
      <w:sz w:val="22"/>
      <w:szCs w:val="22"/>
      <w:lang w:val="en-US" w:eastAsia="zh-CN" w:bidi="ar-SA"/>
    </w:rPr>
  </w:style>
  <w:style w:type="character" w:customStyle="1" w:styleId="47">
    <w:name w:val="无间隔 字符"/>
    <w:link w:val="46"/>
    <w:autoRedefine/>
    <w:qFormat/>
    <w:locked/>
    <w:uiPriority w:val="99"/>
    <w:rPr>
      <w:rFonts w:ascii="Calibri" w:hAnsi="Calibri" w:cs="Calibri"/>
      <w:sz w:val="22"/>
      <w:szCs w:val="22"/>
    </w:rPr>
  </w:style>
  <w:style w:type="character" w:customStyle="1" w:styleId="48">
    <w:name w:val="正文文本首行缩进 2 字符"/>
    <w:link w:val="19"/>
    <w:autoRedefine/>
    <w:semiHidden/>
    <w:qFormat/>
    <w:uiPriority w:val="99"/>
    <w:rPr>
      <w:szCs w:val="21"/>
    </w:rPr>
  </w:style>
  <w:style w:type="character" w:customStyle="1" w:styleId="49">
    <w:name w:val="脚注文本 字符"/>
    <w:link w:val="15"/>
    <w:autoRedefine/>
    <w:semiHidden/>
    <w:qFormat/>
    <w:uiPriority w:val="99"/>
    <w:rPr>
      <w:sz w:val="18"/>
      <w:szCs w:val="18"/>
    </w:rPr>
  </w:style>
  <w:style w:type="character" w:styleId="50">
    <w:name w:val="Placeholder Text"/>
    <w:autoRedefine/>
    <w:semiHidden/>
    <w:qFormat/>
    <w:uiPriority w:val="99"/>
    <w:rPr>
      <w:color w:val="808080"/>
    </w:rPr>
  </w:style>
  <w:style w:type="character" w:customStyle="1" w:styleId="51">
    <w:name w:val="尾注文本 字符"/>
    <w:link w:val="10"/>
    <w:autoRedefine/>
    <w:qFormat/>
    <w:locked/>
    <w:uiPriority w:val="99"/>
    <w:rPr>
      <w:kern w:val="2"/>
      <w:sz w:val="24"/>
      <w:szCs w:val="24"/>
    </w:rPr>
  </w:style>
  <w:style w:type="paragraph" w:customStyle="1" w:styleId="52">
    <w:name w:val="参考文献"/>
    <w:basedOn w:val="1"/>
    <w:autoRedefine/>
    <w:qFormat/>
    <w:uiPriority w:val="99"/>
    <w:pPr>
      <w:spacing w:line="280" w:lineRule="atLeast"/>
    </w:pPr>
    <w:rPr>
      <w:rFonts w:hAnsi="宋体"/>
      <w:sz w:val="18"/>
      <w:szCs w:val="18"/>
    </w:rPr>
  </w:style>
  <w:style w:type="paragraph" w:customStyle="1" w:styleId="53">
    <w:name w:val="中文摘要1"/>
    <w:basedOn w:val="1"/>
    <w:link w:val="54"/>
    <w:autoRedefine/>
    <w:qFormat/>
    <w:uiPriority w:val="99"/>
    <w:pPr>
      <w:spacing w:line="320" w:lineRule="atLeast"/>
      <w:ind w:left="420" w:leftChars="200" w:right="420" w:rightChars="200"/>
    </w:pPr>
    <w:rPr>
      <w:rFonts w:eastAsia="楷体_GB2312"/>
    </w:rPr>
  </w:style>
  <w:style w:type="character" w:customStyle="1" w:styleId="54">
    <w:name w:val="中文摘要1 Char"/>
    <w:link w:val="53"/>
    <w:autoRedefine/>
    <w:qFormat/>
    <w:locked/>
    <w:uiPriority w:val="99"/>
    <w:rPr>
      <w:rFonts w:eastAsia="楷体_GB2312"/>
      <w:kern w:val="2"/>
      <w:sz w:val="21"/>
      <w:szCs w:val="21"/>
    </w:rPr>
  </w:style>
  <w:style w:type="paragraph" w:customStyle="1" w:styleId="55">
    <w:name w:val="中文章名"/>
    <w:basedOn w:val="1"/>
    <w:link w:val="56"/>
    <w:autoRedefine/>
    <w:qFormat/>
    <w:uiPriority w:val="99"/>
    <w:pPr>
      <w:spacing w:before="480" w:after="240"/>
      <w:jc w:val="center"/>
    </w:pPr>
    <w:rPr>
      <w:sz w:val="44"/>
      <w:szCs w:val="44"/>
    </w:rPr>
  </w:style>
  <w:style w:type="character" w:customStyle="1" w:styleId="56">
    <w:name w:val="中文章名 Char"/>
    <w:link w:val="55"/>
    <w:autoRedefine/>
    <w:qFormat/>
    <w:locked/>
    <w:uiPriority w:val="99"/>
    <w:rPr>
      <w:kern w:val="2"/>
      <w:sz w:val="44"/>
      <w:szCs w:val="44"/>
    </w:rPr>
  </w:style>
  <w:style w:type="character" w:customStyle="1" w:styleId="57">
    <w:name w:val="文章编号 Char"/>
    <w:link w:val="58"/>
    <w:autoRedefine/>
    <w:qFormat/>
    <w:locked/>
    <w:uiPriority w:val="99"/>
    <w:rPr>
      <w:rFonts w:ascii="黑体" w:eastAsia="黑体" w:cs="黑体"/>
      <w:kern w:val="2"/>
      <w:sz w:val="18"/>
      <w:szCs w:val="18"/>
    </w:rPr>
  </w:style>
  <w:style w:type="paragraph" w:customStyle="1" w:styleId="58">
    <w:name w:val="文章编号"/>
    <w:basedOn w:val="1"/>
    <w:link w:val="57"/>
    <w:autoRedefine/>
    <w:qFormat/>
    <w:uiPriority w:val="99"/>
    <w:rPr>
      <w:rFonts w:ascii="黑体" w:eastAsia="黑体" w:cs="黑体"/>
      <w:sz w:val="18"/>
      <w:szCs w:val="18"/>
    </w:rPr>
  </w:style>
  <w:style w:type="paragraph" w:customStyle="1" w:styleId="59">
    <w:name w:val="中文作者名"/>
    <w:basedOn w:val="1"/>
    <w:autoRedefine/>
    <w:qFormat/>
    <w:uiPriority w:val="99"/>
    <w:pPr>
      <w:spacing w:afterLines="30" w:line="320" w:lineRule="atLeast"/>
      <w:jc w:val="center"/>
    </w:pPr>
    <w:rPr>
      <w:rFonts w:eastAsia="仿宋_GB2312"/>
      <w:sz w:val="24"/>
      <w:szCs w:val="24"/>
    </w:rPr>
  </w:style>
  <w:style w:type="paragraph" w:customStyle="1" w:styleId="60">
    <w:name w:val="中文单位名"/>
    <w:basedOn w:val="1"/>
    <w:autoRedefine/>
    <w:qFormat/>
    <w:uiPriority w:val="99"/>
    <w:pPr>
      <w:spacing w:afterLines="100" w:line="320" w:lineRule="atLeast"/>
      <w:ind w:left="210" w:leftChars="100" w:right="210" w:rightChars="100"/>
      <w:jc w:val="center"/>
    </w:pPr>
    <w:rPr>
      <w:sz w:val="18"/>
      <w:szCs w:val="18"/>
    </w:rPr>
  </w:style>
  <w:style w:type="paragraph" w:customStyle="1" w:styleId="61">
    <w:name w:val="英文章名"/>
    <w:basedOn w:val="1"/>
    <w:autoRedefine/>
    <w:qFormat/>
    <w:uiPriority w:val="99"/>
    <w:pPr>
      <w:spacing w:before="480"/>
      <w:jc w:val="center"/>
    </w:pPr>
    <w:rPr>
      <w:rFonts w:eastAsia="黑体"/>
      <w:sz w:val="36"/>
      <w:szCs w:val="36"/>
    </w:rPr>
  </w:style>
  <w:style w:type="paragraph" w:customStyle="1" w:styleId="62">
    <w:name w:val="英文作者"/>
    <w:basedOn w:val="1"/>
    <w:autoRedefine/>
    <w:qFormat/>
    <w:uiPriority w:val="99"/>
    <w:pPr>
      <w:spacing w:afterLines="30" w:line="320" w:lineRule="atLeast"/>
      <w:jc w:val="center"/>
    </w:pPr>
    <w:rPr>
      <w:sz w:val="24"/>
      <w:szCs w:val="24"/>
    </w:rPr>
  </w:style>
  <w:style w:type="paragraph" w:customStyle="1" w:styleId="63">
    <w:name w:val="英文单位"/>
    <w:basedOn w:val="1"/>
    <w:autoRedefine/>
    <w:qFormat/>
    <w:uiPriority w:val="99"/>
    <w:pPr>
      <w:spacing w:afterLines="80" w:line="280" w:lineRule="atLeast"/>
      <w:jc w:val="center"/>
    </w:pPr>
    <w:rPr>
      <w:sz w:val="18"/>
      <w:szCs w:val="18"/>
    </w:rPr>
  </w:style>
  <w:style w:type="character" w:customStyle="1" w:styleId="64">
    <w:name w:val="正文1 Char"/>
    <w:link w:val="65"/>
    <w:autoRedefine/>
    <w:qFormat/>
    <w:locked/>
    <w:uiPriority w:val="99"/>
    <w:rPr>
      <w:sz w:val="21"/>
      <w:szCs w:val="21"/>
    </w:rPr>
  </w:style>
  <w:style w:type="paragraph" w:customStyle="1" w:styleId="65">
    <w:name w:val="正文1"/>
    <w:basedOn w:val="1"/>
    <w:link w:val="64"/>
    <w:autoRedefine/>
    <w:qFormat/>
    <w:uiPriority w:val="99"/>
    <w:pPr>
      <w:spacing w:line="320" w:lineRule="atLeast"/>
      <w:ind w:firstLine="420" w:firstLineChars="200"/>
    </w:pPr>
    <w:rPr>
      <w:kern w:val="0"/>
    </w:rPr>
  </w:style>
  <w:style w:type="paragraph" w:customStyle="1" w:styleId="66">
    <w:name w:val="表、图"/>
    <w:basedOn w:val="1"/>
    <w:link w:val="67"/>
    <w:autoRedefine/>
    <w:qFormat/>
    <w:uiPriority w:val="0"/>
    <w:pPr>
      <w:widowControl/>
      <w:adjustRightInd w:val="0"/>
      <w:jc w:val="center"/>
    </w:pPr>
    <w:rPr>
      <w:szCs w:val="24"/>
    </w:rPr>
  </w:style>
  <w:style w:type="character" w:customStyle="1" w:styleId="67">
    <w:name w:val="表、图 Char"/>
    <w:link w:val="66"/>
    <w:autoRedefine/>
    <w:qFormat/>
    <w:uiPriority w:val="0"/>
    <w:rPr>
      <w:kern w:val="2"/>
      <w:sz w:val="21"/>
      <w:szCs w:val="24"/>
    </w:rPr>
  </w:style>
  <w:style w:type="paragraph" w:customStyle="1" w:styleId="68">
    <w:name w:val="标题3"/>
    <w:basedOn w:val="1"/>
    <w:link w:val="69"/>
    <w:autoRedefine/>
    <w:qFormat/>
    <w:uiPriority w:val="0"/>
    <w:pPr>
      <w:keepNext/>
      <w:keepLines/>
      <w:spacing w:line="360" w:lineRule="auto"/>
      <w:jc w:val="left"/>
      <w:outlineLvl w:val="2"/>
    </w:pPr>
    <w:rPr>
      <w:rFonts w:eastAsia="黑体"/>
      <w:kern w:val="44"/>
      <w:sz w:val="28"/>
      <w:szCs w:val="24"/>
    </w:rPr>
  </w:style>
  <w:style w:type="character" w:customStyle="1" w:styleId="69">
    <w:name w:val="标题3 Char"/>
    <w:link w:val="68"/>
    <w:autoRedefine/>
    <w:qFormat/>
    <w:uiPriority w:val="0"/>
    <w:rPr>
      <w:rFonts w:eastAsia="黑体"/>
      <w:kern w:val="44"/>
      <w:sz w:val="28"/>
      <w:szCs w:val="24"/>
    </w:rPr>
  </w:style>
  <w:style w:type="paragraph" w:styleId="7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1">
    <w:name w:val="Unresolved Mention"/>
    <w:basedOn w:val="25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72">
    <w:name w:val="批注文字 Char"/>
    <w:autoRedefine/>
    <w:qFormat/>
    <w:uiPriority w:val="0"/>
    <w:rPr>
      <w:kern w:val="2"/>
      <w:sz w:val="21"/>
      <w:szCs w:val="24"/>
    </w:rPr>
  </w:style>
  <w:style w:type="character" w:customStyle="1" w:styleId="73">
    <w:name w:val="cf01"/>
    <w:basedOn w:val="25"/>
    <w:autoRedefine/>
    <w:qFormat/>
    <w:uiPriority w:val="0"/>
    <w:rPr>
      <w:rFonts w:hint="eastAsia" w:ascii="Microsoft YaHei UI" w:hAnsi="Microsoft YaHei UI" w:eastAsia="Microsoft YaHei UI"/>
      <w:sz w:val="18"/>
      <w:szCs w:val="18"/>
    </w:rPr>
  </w:style>
  <w:style w:type="character" w:customStyle="1" w:styleId="74">
    <w:name w:val="qowt-font1-timesnewroman"/>
    <w:basedOn w:val="2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5.png"/><Relationship Id="rId14" Type="http://schemas.openxmlformats.org/officeDocument/2006/relationships/chart" Target="charts/chart2.xml"/><Relationship Id="rId13" Type="http://schemas.openxmlformats.org/officeDocument/2006/relationships/image" Target="media/image4.png"/><Relationship Id="rId12" Type="http://schemas.openxmlformats.org/officeDocument/2006/relationships/chart" Target="charts/chart1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5835;&#21338;\&#35835;&#21338;2019\&#23567;&#35770;&#25991;2020.2.19\32081&#24037;&#20316;&#38754;&#30719;&#21387;&#35266;&#27979;&#25968;&#25454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esktop\32081&#24037;&#20316;&#38754;&#30719;&#21387;&#35266;&#27979;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847641385252"/>
          <c:y val="0.0509259259259259"/>
          <c:w val="0.867581483925452"/>
          <c:h val="0.789074524324686"/>
        </c:manualLayout>
      </c:layout>
      <c:lineChart>
        <c:grouping val="standard"/>
        <c:varyColors val="0"/>
        <c:ser>
          <c:idx val="0"/>
          <c:order val="0"/>
          <c:tx>
            <c:strRef>
              <c:f>'6#离 (2)'!$H$31</c:f>
              <c:strCache>
                <c:ptCount val="1"/>
                <c:pt idx="0">
                  <c:v>顶底板移近量/mm</c:v>
                </c:pt>
              </c:strCache>
            </c:strRef>
          </c:tx>
          <c:spPr>
            <a:ln w="19050" cap="rnd" cmpd="sng" algn="ctr">
              <a:solidFill>
                <a:schemeClr val="accent1"/>
              </a:solidFill>
              <a:prstDash val="solid"/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 cap="flat" cmpd="sng" algn="ctr">
                <a:solidFill>
                  <a:schemeClr val="accent1"/>
                </a:solidFill>
                <a:prstDash val="solid"/>
                <a:round/>
              </a:ln>
              <a:effectLst/>
            </c:spPr>
          </c:marker>
          <c:dLbls>
            <c:delete val="1"/>
          </c:dLbls>
          <c:cat>
            <c:numRef>
              <c:f>'6#离 (2)'!$G$32:$G$55</c:f>
              <c:numCache>
                <c:formatCode>General</c:formatCode>
                <c:ptCount val="24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  <c:pt idx="8">
                  <c:v>45</c:v>
                </c:pt>
                <c:pt idx="9">
                  <c:v>50</c:v>
                </c:pt>
                <c:pt idx="10">
                  <c:v>55</c:v>
                </c:pt>
                <c:pt idx="11">
                  <c:v>60</c:v>
                </c:pt>
                <c:pt idx="12">
                  <c:v>65</c:v>
                </c:pt>
                <c:pt idx="13">
                  <c:v>70</c:v>
                </c:pt>
                <c:pt idx="14">
                  <c:v>75</c:v>
                </c:pt>
                <c:pt idx="15">
                  <c:v>80</c:v>
                </c:pt>
                <c:pt idx="16">
                  <c:v>85</c:v>
                </c:pt>
                <c:pt idx="17">
                  <c:v>90</c:v>
                </c:pt>
                <c:pt idx="18">
                  <c:v>95</c:v>
                </c:pt>
                <c:pt idx="19">
                  <c:v>100</c:v>
                </c:pt>
                <c:pt idx="20">
                  <c:v>105</c:v>
                </c:pt>
                <c:pt idx="21">
                  <c:v>110</c:v>
                </c:pt>
                <c:pt idx="22">
                  <c:v>115</c:v>
                </c:pt>
                <c:pt idx="23">
                  <c:v>120</c:v>
                </c:pt>
              </c:numCache>
            </c:numRef>
          </c:cat>
          <c:val>
            <c:numRef>
              <c:f>'6#离 (2)'!$H$32:$H$55</c:f>
              <c:numCache>
                <c:formatCode>General</c:formatCode>
                <c:ptCount val="24"/>
                <c:pt idx="0">
                  <c:v>405</c:v>
                </c:pt>
                <c:pt idx="1">
                  <c:v>360</c:v>
                </c:pt>
                <c:pt idx="2">
                  <c:v>315</c:v>
                </c:pt>
                <c:pt idx="3">
                  <c:v>301</c:v>
                </c:pt>
                <c:pt idx="4">
                  <c:v>255</c:v>
                </c:pt>
                <c:pt idx="5">
                  <c:v>235</c:v>
                </c:pt>
                <c:pt idx="6">
                  <c:v>194</c:v>
                </c:pt>
                <c:pt idx="7">
                  <c:v>190</c:v>
                </c:pt>
                <c:pt idx="8">
                  <c:v>187</c:v>
                </c:pt>
                <c:pt idx="9">
                  <c:v>143</c:v>
                </c:pt>
                <c:pt idx="10">
                  <c:v>140</c:v>
                </c:pt>
                <c:pt idx="11">
                  <c:v>120</c:v>
                </c:pt>
                <c:pt idx="12">
                  <c:v>118</c:v>
                </c:pt>
                <c:pt idx="13">
                  <c:v>117</c:v>
                </c:pt>
                <c:pt idx="14">
                  <c:v>91</c:v>
                </c:pt>
                <c:pt idx="15">
                  <c:v>75</c:v>
                </c:pt>
                <c:pt idx="16">
                  <c:v>65</c:v>
                </c:pt>
                <c:pt idx="17">
                  <c:v>61</c:v>
                </c:pt>
                <c:pt idx="18">
                  <c:v>58</c:v>
                </c:pt>
                <c:pt idx="19">
                  <c:v>55</c:v>
                </c:pt>
                <c:pt idx="20">
                  <c:v>52</c:v>
                </c:pt>
                <c:pt idx="21">
                  <c:v>52</c:v>
                </c:pt>
                <c:pt idx="22">
                  <c:v>51</c:v>
                </c:pt>
                <c:pt idx="23">
                  <c:v>50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'6#离 (2)'!$I$31</c:f>
              <c:strCache>
                <c:ptCount val="1"/>
                <c:pt idx="0">
                  <c:v>两帮移近量/mm</c:v>
                </c:pt>
              </c:strCache>
            </c:strRef>
          </c:tx>
          <c:spPr>
            <a:ln w="19050" cap="rnd" cmpd="sng" algn="ctr">
              <a:solidFill>
                <a:schemeClr val="accent2"/>
              </a:solidFill>
              <a:prstDash val="solid"/>
              <a:round/>
            </a:ln>
            <a:effectLst/>
          </c:spPr>
          <c:marker>
            <c:symbol val="triangle"/>
            <c:size val="3"/>
            <c:spPr>
              <a:solidFill>
                <a:schemeClr val="accent2"/>
              </a:solidFill>
              <a:ln w="9525" cap="flat" cmpd="sng" algn="ctr">
                <a:solidFill>
                  <a:schemeClr val="accent2"/>
                </a:solidFill>
                <a:prstDash val="solid"/>
                <a:round/>
              </a:ln>
              <a:effectLst/>
            </c:spPr>
          </c:marker>
          <c:dLbls>
            <c:delete val="1"/>
          </c:dLbls>
          <c:cat>
            <c:numRef>
              <c:f>'6#离 (2)'!$G$32:$G$55</c:f>
              <c:numCache>
                <c:formatCode>General</c:formatCode>
                <c:ptCount val="24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  <c:pt idx="8">
                  <c:v>45</c:v>
                </c:pt>
                <c:pt idx="9">
                  <c:v>50</c:v>
                </c:pt>
                <c:pt idx="10">
                  <c:v>55</c:v>
                </c:pt>
                <c:pt idx="11">
                  <c:v>60</c:v>
                </c:pt>
                <c:pt idx="12">
                  <c:v>65</c:v>
                </c:pt>
                <c:pt idx="13">
                  <c:v>70</c:v>
                </c:pt>
                <c:pt idx="14">
                  <c:v>75</c:v>
                </c:pt>
                <c:pt idx="15">
                  <c:v>80</c:v>
                </c:pt>
                <c:pt idx="16">
                  <c:v>85</c:v>
                </c:pt>
                <c:pt idx="17">
                  <c:v>90</c:v>
                </c:pt>
                <c:pt idx="18">
                  <c:v>95</c:v>
                </c:pt>
                <c:pt idx="19">
                  <c:v>100</c:v>
                </c:pt>
                <c:pt idx="20">
                  <c:v>105</c:v>
                </c:pt>
                <c:pt idx="21">
                  <c:v>110</c:v>
                </c:pt>
                <c:pt idx="22">
                  <c:v>115</c:v>
                </c:pt>
                <c:pt idx="23">
                  <c:v>120</c:v>
                </c:pt>
              </c:numCache>
            </c:numRef>
          </c:cat>
          <c:val>
            <c:numRef>
              <c:f>'6#离 (2)'!$I$32:$I$55</c:f>
              <c:numCache>
                <c:formatCode>General</c:formatCode>
                <c:ptCount val="24"/>
                <c:pt idx="0">
                  <c:v>310</c:v>
                </c:pt>
                <c:pt idx="1">
                  <c:v>295</c:v>
                </c:pt>
                <c:pt idx="2">
                  <c:v>290</c:v>
                </c:pt>
                <c:pt idx="3">
                  <c:v>265</c:v>
                </c:pt>
                <c:pt idx="4">
                  <c:v>235</c:v>
                </c:pt>
                <c:pt idx="5">
                  <c:v>220</c:v>
                </c:pt>
                <c:pt idx="6">
                  <c:v>190</c:v>
                </c:pt>
                <c:pt idx="7">
                  <c:v>185</c:v>
                </c:pt>
                <c:pt idx="8">
                  <c:v>182</c:v>
                </c:pt>
                <c:pt idx="9">
                  <c:v>170</c:v>
                </c:pt>
                <c:pt idx="10">
                  <c:v>160</c:v>
                </c:pt>
                <c:pt idx="11">
                  <c:v>145</c:v>
                </c:pt>
                <c:pt idx="12">
                  <c:v>130</c:v>
                </c:pt>
                <c:pt idx="13">
                  <c:v>114</c:v>
                </c:pt>
                <c:pt idx="14">
                  <c:v>101</c:v>
                </c:pt>
                <c:pt idx="15">
                  <c:v>88</c:v>
                </c:pt>
                <c:pt idx="16">
                  <c:v>75</c:v>
                </c:pt>
                <c:pt idx="17">
                  <c:v>70</c:v>
                </c:pt>
                <c:pt idx="18">
                  <c:v>65</c:v>
                </c:pt>
                <c:pt idx="19">
                  <c:v>60</c:v>
                </c:pt>
                <c:pt idx="20">
                  <c:v>55</c:v>
                </c:pt>
                <c:pt idx="21">
                  <c:v>50</c:v>
                </c:pt>
                <c:pt idx="22">
                  <c:v>45</c:v>
                </c:pt>
                <c:pt idx="23">
                  <c:v>40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23050112"/>
        <c:axId val="346399872"/>
      </c:lineChart>
      <c:catAx>
        <c:axId val="32305011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50000"/>
                  <a:lumOff val="50000"/>
                </a:schemeClr>
              </a:solidFill>
              <a:prstDash val="sysDot"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600">
                    <a:solidFill>
                      <a:schemeClr val="tx1"/>
                    </a:solidFill>
                  </a:rPr>
                  <a:t>矿 压 观 测 站 与 工 作 面 的 距 离 </a:t>
                </a:r>
                <a:r>
                  <a:rPr lang="en-US" altLang="zh-CN" sz="600">
                    <a:solidFill>
                      <a:schemeClr val="tx1"/>
                    </a:solidFill>
                  </a:rPr>
                  <a:t>/m</a:t>
                </a:r>
                <a:endParaRPr lang="zh-CN" altLang="en-US" sz="600">
                  <a:solidFill>
                    <a:schemeClr val="tx1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46399872"/>
        <c:crosses val="autoZero"/>
        <c:auto val="1"/>
        <c:lblAlgn val="ctr"/>
        <c:lblOffset val="100"/>
        <c:noMultiLvlLbl val="0"/>
      </c:catAx>
      <c:valAx>
        <c:axId val="3463998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0"/>
                  <a:lumOff val="50000"/>
                </a:schemeClr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sz="600">
                    <a:solidFill>
                      <a:schemeClr val="tx1"/>
                    </a:solidFill>
                  </a:rPr>
                  <a:t>相 对 移 近 量 </a:t>
                </a:r>
                <a:r>
                  <a:rPr lang="en-US" altLang="zh-CN" sz="600">
                    <a:solidFill>
                      <a:schemeClr val="tx1"/>
                    </a:solidFill>
                  </a:rPr>
                  <a:t>/mm</a:t>
                </a:r>
                <a:endParaRPr lang="zh-CN" altLang="en-US" sz="600">
                  <a:solidFill>
                    <a:schemeClr val="tx1"/>
                  </a:solidFill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prstDash val="solid"/>
            <a:round/>
          </a:ln>
          <a:effectLst>
            <a:outerShdw blurRad="50800" dist="50800" dir="5400000" algn="ctr" rotWithShape="0">
              <a:schemeClr val="bg1"/>
            </a:outerShdw>
          </a:effectLst>
        </c:spPr>
        <c:txPr>
          <a:bodyPr rot="-60000000" spcFirstLastPara="1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23050112"/>
        <c:crosses val="autoZero"/>
        <c:crossBetween val="between"/>
      </c:valAx>
      <c:spPr>
        <a:noFill/>
        <a:ln cmpd="sng">
          <a:noFill/>
        </a:ln>
        <a:effectLst/>
      </c:spPr>
    </c:plotArea>
    <c:legend>
      <c:legendPos val="b"/>
      <c:layout>
        <c:manualLayout>
          <c:xMode val="edge"/>
          <c:yMode val="edge"/>
          <c:x val="0.474303036987899"/>
          <c:y val="0.10715874165647"/>
          <c:w val="0.320244733845959"/>
          <c:h val="0.15209054958781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6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noFill/>
    <a:ln w="9525" cap="flat" cmpd="sng" algn="ctr">
      <a:noFill/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229348231167"/>
          <c:y val="0.0388539621523688"/>
          <c:w val="0.827081759157005"/>
          <c:h val="0.755758296079199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'6#离 (2)'!$I$2</c:f>
              <c:strCache>
                <c:ptCount val="1"/>
                <c:pt idx="0">
                  <c:v>3m浅孔离层量/mm</c:v>
                </c:pt>
              </c:strCache>
            </c:strRef>
          </c:tx>
          <c:spPr>
            <a:ln w="19050" cap="rnd" cmpd="sng" algn="ctr">
              <a:solidFill>
                <a:schemeClr val="accent1"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 cap="flat" cmpd="sng" algn="ctr">
                <a:solidFill>
                  <a:schemeClr val="accent1">
                    <a:shade val="95000"/>
                    <a:satMod val="105000"/>
                  </a:schemeClr>
                </a:solidFill>
                <a:prstDash val="solid"/>
                <a:round/>
              </a:ln>
              <a:effectLst/>
            </c:spPr>
          </c:marker>
          <c:dLbls>
            <c:delete val="1"/>
          </c:dLbls>
          <c:xVal>
            <c:numRef>
              <c:f>'6#离 (2)'!$H$3:$H$26</c:f>
              <c:numCache>
                <c:formatCode>General</c:formatCode>
                <c:ptCount val="24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  <c:pt idx="8">
                  <c:v>45</c:v>
                </c:pt>
                <c:pt idx="9">
                  <c:v>50</c:v>
                </c:pt>
                <c:pt idx="10">
                  <c:v>55</c:v>
                </c:pt>
                <c:pt idx="11">
                  <c:v>60</c:v>
                </c:pt>
                <c:pt idx="12">
                  <c:v>65</c:v>
                </c:pt>
                <c:pt idx="13">
                  <c:v>70</c:v>
                </c:pt>
                <c:pt idx="14">
                  <c:v>75</c:v>
                </c:pt>
                <c:pt idx="15">
                  <c:v>80</c:v>
                </c:pt>
                <c:pt idx="16">
                  <c:v>85</c:v>
                </c:pt>
                <c:pt idx="17">
                  <c:v>90</c:v>
                </c:pt>
                <c:pt idx="18">
                  <c:v>95</c:v>
                </c:pt>
                <c:pt idx="19">
                  <c:v>100</c:v>
                </c:pt>
                <c:pt idx="20">
                  <c:v>105</c:v>
                </c:pt>
                <c:pt idx="21">
                  <c:v>110</c:v>
                </c:pt>
                <c:pt idx="22">
                  <c:v>115</c:v>
                </c:pt>
                <c:pt idx="23">
                  <c:v>120</c:v>
                </c:pt>
              </c:numCache>
            </c:numRef>
          </c:xVal>
          <c:yVal>
            <c:numRef>
              <c:f>'6#离 (2)'!$I$3:$I$26</c:f>
              <c:numCache>
                <c:formatCode>General</c:formatCode>
                <c:ptCount val="24"/>
                <c:pt idx="0">
                  <c:v>48</c:v>
                </c:pt>
                <c:pt idx="1">
                  <c:v>41</c:v>
                </c:pt>
                <c:pt idx="2">
                  <c:v>27</c:v>
                </c:pt>
                <c:pt idx="3">
                  <c:v>27</c:v>
                </c:pt>
                <c:pt idx="4">
                  <c:v>21</c:v>
                </c:pt>
                <c:pt idx="5">
                  <c:v>16</c:v>
                </c:pt>
                <c:pt idx="6">
                  <c:v>14</c:v>
                </c:pt>
                <c:pt idx="7">
                  <c:v>14</c:v>
                </c:pt>
                <c:pt idx="8">
                  <c:v>12</c:v>
                </c:pt>
                <c:pt idx="9">
                  <c:v>10</c:v>
                </c:pt>
                <c:pt idx="10">
                  <c:v>9</c:v>
                </c:pt>
                <c:pt idx="11">
                  <c:v>8</c:v>
                </c:pt>
                <c:pt idx="12">
                  <c:v>7</c:v>
                </c:pt>
                <c:pt idx="13">
                  <c:v>7</c:v>
                </c:pt>
                <c:pt idx="14">
                  <c:v>6</c:v>
                </c:pt>
                <c:pt idx="15">
                  <c:v>5</c:v>
                </c:pt>
                <c:pt idx="16">
                  <c:v>5</c:v>
                </c:pt>
                <c:pt idx="17">
                  <c:v>5</c:v>
                </c:pt>
                <c:pt idx="18">
                  <c:v>4</c:v>
                </c:pt>
                <c:pt idx="19">
                  <c:v>3</c:v>
                </c:pt>
                <c:pt idx="20">
                  <c:v>3</c:v>
                </c:pt>
                <c:pt idx="21">
                  <c:v>3</c:v>
                </c:pt>
                <c:pt idx="22">
                  <c:v>3</c:v>
                </c:pt>
                <c:pt idx="23">
                  <c:v>3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'6#离 (2)'!$J$2</c:f>
              <c:strCache>
                <c:ptCount val="1"/>
                <c:pt idx="0">
                  <c:v>8m深孔离层量/mm</c:v>
                </c:pt>
              </c:strCache>
            </c:strRef>
          </c:tx>
          <c:spPr>
            <a:ln w="19050" cap="rnd" cmpd="sng" algn="ctr">
              <a:solidFill>
                <a:schemeClr val="accent3"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  <c:marker>
            <c:symbol val="square"/>
            <c:size val="3"/>
            <c:spPr>
              <a:solidFill>
                <a:schemeClr val="accent3"/>
              </a:solidFill>
              <a:ln w="9525" cap="flat" cmpd="sng" algn="ctr">
                <a:solidFill>
                  <a:schemeClr val="accent3">
                    <a:shade val="95000"/>
                    <a:satMod val="105000"/>
                  </a:schemeClr>
                </a:solidFill>
                <a:prstDash val="solid"/>
                <a:round/>
              </a:ln>
              <a:effectLst/>
            </c:spPr>
          </c:marker>
          <c:dLbls>
            <c:delete val="1"/>
          </c:dLbls>
          <c:xVal>
            <c:numRef>
              <c:f>'6#离 (2)'!$H$3:$H$26</c:f>
              <c:numCache>
                <c:formatCode>General</c:formatCode>
                <c:ptCount val="24"/>
                <c:pt idx="0">
                  <c:v>5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40</c:v>
                </c:pt>
                <c:pt idx="8">
                  <c:v>45</c:v>
                </c:pt>
                <c:pt idx="9">
                  <c:v>50</c:v>
                </c:pt>
                <c:pt idx="10">
                  <c:v>55</c:v>
                </c:pt>
                <c:pt idx="11">
                  <c:v>60</c:v>
                </c:pt>
                <c:pt idx="12">
                  <c:v>65</c:v>
                </c:pt>
                <c:pt idx="13">
                  <c:v>70</c:v>
                </c:pt>
                <c:pt idx="14">
                  <c:v>75</c:v>
                </c:pt>
                <c:pt idx="15">
                  <c:v>80</c:v>
                </c:pt>
                <c:pt idx="16">
                  <c:v>85</c:v>
                </c:pt>
                <c:pt idx="17">
                  <c:v>90</c:v>
                </c:pt>
                <c:pt idx="18">
                  <c:v>95</c:v>
                </c:pt>
                <c:pt idx="19">
                  <c:v>100</c:v>
                </c:pt>
                <c:pt idx="20">
                  <c:v>105</c:v>
                </c:pt>
                <c:pt idx="21">
                  <c:v>110</c:v>
                </c:pt>
                <c:pt idx="22">
                  <c:v>115</c:v>
                </c:pt>
                <c:pt idx="23">
                  <c:v>120</c:v>
                </c:pt>
              </c:numCache>
            </c:numRef>
          </c:xVal>
          <c:yVal>
            <c:numRef>
              <c:f>'6#离 (2)'!$J$3:$J$26</c:f>
              <c:numCache>
                <c:formatCode>General</c:formatCode>
                <c:ptCount val="24"/>
                <c:pt idx="0">
                  <c:v>52</c:v>
                </c:pt>
                <c:pt idx="1">
                  <c:v>46</c:v>
                </c:pt>
                <c:pt idx="2">
                  <c:v>33</c:v>
                </c:pt>
                <c:pt idx="3">
                  <c:v>33</c:v>
                </c:pt>
                <c:pt idx="4">
                  <c:v>28</c:v>
                </c:pt>
                <c:pt idx="5">
                  <c:v>23</c:v>
                </c:pt>
                <c:pt idx="6">
                  <c:v>20</c:v>
                </c:pt>
                <c:pt idx="7">
                  <c:v>20</c:v>
                </c:pt>
                <c:pt idx="8">
                  <c:v>18</c:v>
                </c:pt>
                <c:pt idx="9">
                  <c:v>14</c:v>
                </c:pt>
                <c:pt idx="10">
                  <c:v>11</c:v>
                </c:pt>
                <c:pt idx="11">
                  <c:v>10</c:v>
                </c:pt>
                <c:pt idx="12">
                  <c:v>6</c:v>
                </c:pt>
                <c:pt idx="13">
                  <c:v>6</c:v>
                </c:pt>
                <c:pt idx="14">
                  <c:v>5</c:v>
                </c:pt>
                <c:pt idx="15">
                  <c:v>4</c:v>
                </c:pt>
                <c:pt idx="16">
                  <c:v>4</c:v>
                </c:pt>
                <c:pt idx="17">
                  <c:v>4</c:v>
                </c:pt>
                <c:pt idx="18">
                  <c:v>3</c:v>
                </c:pt>
                <c:pt idx="19">
                  <c:v>2</c:v>
                </c:pt>
                <c:pt idx="20">
                  <c:v>2</c:v>
                </c:pt>
                <c:pt idx="21">
                  <c:v>2</c:v>
                </c:pt>
                <c:pt idx="22">
                  <c:v>1</c:v>
                </c:pt>
                <c:pt idx="23">
                  <c:v>1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2174720"/>
        <c:axId val="342185472"/>
      </c:scatterChart>
      <c:valAx>
        <c:axId val="342174720"/>
        <c:scaling>
          <c:orientation val="minMax"/>
          <c:max val="12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ysDot"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 b="0" i="0" baseline="0"/>
                  <a:t>顶 板 离 层 仪 </a:t>
                </a:r>
                <a:r>
                  <a:rPr lang="zh-CN" b="0" i="0" baseline="0"/>
                  <a:t>距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工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作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面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距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离</a:t>
                </a:r>
                <a:r>
                  <a:rPr lang="en-US" altLang="zh-CN" b="0" i="0" baseline="0"/>
                  <a:t> </a:t>
                </a:r>
                <a:r>
                  <a:rPr lang="en-US" b="0" i="0" baseline="0"/>
                  <a:t>/m</a:t>
                </a:r>
                <a:endParaRPr lang="zh-CN" b="0" i="0" baseline="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42185472"/>
        <c:crosses val="autoZero"/>
        <c:crossBetween val="midCat"/>
        <c:majorUnit val="10"/>
        <c:minorUnit val="5"/>
      </c:valAx>
      <c:valAx>
        <c:axId val="342185472"/>
        <c:scaling>
          <c:orientation val="minMax"/>
          <c:max val="6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ysDot"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6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b="0" i="0" baseline="0"/>
                  <a:t>离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层</a:t>
                </a:r>
                <a:r>
                  <a:rPr lang="en-US" altLang="zh-CN" b="0" i="0" baseline="0"/>
                  <a:t> </a:t>
                </a:r>
                <a:r>
                  <a:rPr lang="zh-CN" b="0" i="0" baseline="0"/>
                  <a:t>量</a:t>
                </a:r>
                <a:r>
                  <a:rPr lang="en-US" altLang="zh-CN" b="0" i="0" baseline="0"/>
                  <a:t> </a:t>
                </a:r>
                <a:r>
                  <a:rPr lang="en-US" b="0" i="0" baseline="0"/>
                  <a:t>/mm</a:t>
                </a:r>
                <a:endParaRPr lang="zh-CN" b="0" i="0" baseline="0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342174720"/>
        <c:crosses val="autoZero"/>
        <c:crossBetween val="midCat"/>
        <c:majorUnit val="5"/>
        <c:minorUnit val="2"/>
      </c:valAx>
      <c:spPr>
        <a:solidFill>
          <a:schemeClr val="bg1"/>
        </a:solidFill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432808968787716"/>
          <c:y val="0.123432962817898"/>
          <c:w val="0.358469439040485"/>
          <c:h val="0.13735160249051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6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>
      <a:softEdge rad="127000"/>
    </a:effectLst>
  </c:spPr>
  <c:txPr>
    <a:bodyPr/>
    <a:lstStyle/>
    <a:p>
      <a:pPr>
        <a:defRPr lang="zh-CN" sz="600" baseline="0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CD5A0-EF61-4A5D-A7F1-FA9C020CA2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1744</Words>
  <Characters>9942</Characters>
  <Lines>82</Lines>
  <Paragraphs>23</Paragraphs>
  <TotalTime>16</TotalTime>
  <ScaleCrop>false</ScaleCrop>
  <LinksUpToDate>false</LinksUpToDate>
  <CharactersWithSpaces>11663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2023-11-28T06:47:00Z</dcterms:created>
  <cp:lastPrinted>2020-02-15T10:04:00Z</cp:lastPrinted>
  <dcterms:modified xsi:type="dcterms:W3CDTF">2024-04-28T07:55:16Z</dcterms:modified>
  <dc:title>刀具破岩机理的细观数值模拟及其刀间距优化研究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ploadURL">
    <vt:lpwstr>1ED7622371355CFDA20C93E95CD733373B64B6020D46508436288CD7A0298EBC95822657B1073B473C1FAE6D381A95825C87B9B5F0980D240469863F5AEF40E09B751E12F567024D597507EC5520021BF89801653D5773F1008181FEBEEFC953</vt:lpwstr>
  </property>
  <property fmtid="{D5CDD505-2E9C-101B-9397-08002B2CF9AE}" pid="3" name="KSOProductBuildVer">
    <vt:lpwstr>2052-12.1.0.16417</vt:lpwstr>
  </property>
  <property fmtid="{D5CDD505-2E9C-101B-9397-08002B2CF9AE}" pid="4" name="ICV">
    <vt:lpwstr>E04D1865EBD64DD9AF52BCB3DF1A4FB6_12</vt:lpwstr>
  </property>
</Properties>
</file>